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77777777"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(STAČIATIKIŲ) TIKYBOS  ILGALAIKIS  PLANAS 1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77777777" w:rsidR="00520913" w:rsidRDefault="00520913" w:rsidP="00520913">
            <w:pPr>
              <w:pStyle w:val="ListParagraph"/>
              <w:ind w:left="30" w:firstLine="30"/>
              <w:rPr>
                <w:bCs/>
              </w:rPr>
            </w:pPr>
            <w:r>
              <w:rPr>
                <w:bCs/>
              </w:rPr>
              <w:t>Ko mokysimės šiais metais? Mokiniai supažindinami su ortodoksų (stačiatikių) tikybos programa, 1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4CD5459D" w14:textId="77777777" w:rsidR="00520913" w:rsidRDefault="00520913" w:rsidP="00520913">
            <w:pPr>
              <w:widowControl w:val="0"/>
              <w:ind w:firstLine="720"/>
              <w:jc w:val="both"/>
              <w:rPr>
                <w:szCs w:val="24"/>
                <w:lang w:eastAsia="ar-SA"/>
              </w:rPr>
            </w:pPr>
            <w:r>
              <w:rPr>
                <w:szCs w:val="24"/>
                <w:lang w:eastAsia="ar-SA"/>
              </w:rPr>
              <w:t>25.1. Šventojo Rašto pažinimas.</w:t>
            </w:r>
          </w:p>
          <w:p w14:paraId="2CDC71E0" w14:textId="77777777" w:rsidR="00520913" w:rsidRDefault="00520913" w:rsidP="00520913">
            <w:pPr>
              <w:widowControl w:val="0"/>
              <w:ind w:firstLine="720"/>
              <w:jc w:val="both"/>
              <w:rPr>
                <w:szCs w:val="24"/>
                <w:lang w:eastAsia="ar-SA"/>
              </w:rPr>
            </w:pPr>
            <w:r>
              <w:rPr>
                <w:szCs w:val="24"/>
                <w:lang w:eastAsia="ar-SA"/>
              </w:rPr>
              <w:lastRenderedPageBreak/>
              <w:t xml:space="preserve">25.1.1. Dievas – pasaulio kūrėjas ir globėjas. </w:t>
            </w:r>
          </w:p>
          <w:p w14:paraId="2009700D" w14:textId="77777777" w:rsidR="00520913" w:rsidRDefault="00520913" w:rsidP="003E3776">
            <w:pPr>
              <w:widowControl w:val="0"/>
              <w:ind w:firstLine="720"/>
              <w:jc w:val="both"/>
              <w:rPr>
                <w:noProof/>
                <w:lang w:eastAsia="en-US"/>
              </w:rPr>
            </w:pPr>
            <w:r>
              <w:rPr>
                <w:szCs w:val="24"/>
                <w:lang w:eastAsia="ar-SA"/>
              </w:rPr>
              <w:t xml:space="preserve">25.1.2. Šventasis Raštas – ypatinga knyga. </w:t>
            </w:r>
          </w:p>
        </w:tc>
        <w:tc>
          <w:tcPr>
            <w:tcW w:w="1984" w:type="dxa"/>
          </w:tcPr>
          <w:p w14:paraId="251C55C0" w14:textId="77777777" w:rsidR="00520913" w:rsidRDefault="00520913" w:rsidP="00520913">
            <w:pPr>
              <w:jc w:val="center"/>
            </w:pPr>
            <w:r>
              <w:lastRenderedPageBreak/>
              <w:t>5</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5340271F" w14:textId="77777777" w:rsidR="00520913" w:rsidRDefault="00520913" w:rsidP="00520913">
            <w:pPr>
              <w:widowControl w:val="0"/>
              <w:ind w:firstLine="720"/>
              <w:jc w:val="both"/>
              <w:rPr>
                <w:szCs w:val="24"/>
                <w:lang w:eastAsia="ar-SA"/>
              </w:rPr>
            </w:pPr>
            <w:r>
              <w:rPr>
                <w:szCs w:val="24"/>
                <w:lang w:eastAsia="ar-SA"/>
              </w:rPr>
              <w:t>25.2. Tikėjimo turinio pažinimas.</w:t>
            </w:r>
          </w:p>
          <w:p w14:paraId="5F29A4C7" w14:textId="77777777" w:rsidR="00520913" w:rsidRDefault="003E3776" w:rsidP="00520913">
            <w:pPr>
              <w:widowControl w:val="0"/>
              <w:ind w:firstLine="720"/>
              <w:jc w:val="both"/>
              <w:rPr>
                <w:szCs w:val="24"/>
                <w:lang w:eastAsia="ar-SA"/>
              </w:rPr>
            </w:pPr>
            <w:r>
              <w:rPr>
                <w:szCs w:val="24"/>
                <w:lang w:eastAsia="ar-SA"/>
              </w:rPr>
              <w:t>25.2.1. Susitikimas su Jėzumi.</w:t>
            </w:r>
            <w:r w:rsidR="00520913">
              <w:rPr>
                <w:szCs w:val="24"/>
                <w:lang w:eastAsia="ar-SA"/>
              </w:rPr>
              <w:t xml:space="preserve"> 25.2.2. Dievo slėpiniai pasaulyje.  </w:t>
            </w:r>
          </w:p>
          <w:p w14:paraId="5BA3624C" w14:textId="77777777" w:rsidR="00520913" w:rsidRDefault="00520913" w:rsidP="00520913">
            <w:pPr>
              <w:widowControl w:val="0"/>
              <w:ind w:firstLine="720"/>
              <w:jc w:val="both"/>
              <w:rPr>
                <w:szCs w:val="24"/>
                <w:lang w:eastAsia="ar-SA"/>
              </w:rPr>
            </w:pPr>
            <w:r>
              <w:rPr>
                <w:szCs w:val="24"/>
                <w:lang w:eastAsia="ar-SA"/>
              </w:rPr>
              <w:t xml:space="preserve">25.2.3. Augti yra džiugu. </w:t>
            </w:r>
          </w:p>
          <w:p w14:paraId="25FEEF0D" w14:textId="77777777" w:rsidR="00520913" w:rsidRDefault="00520913" w:rsidP="003E3776">
            <w:pPr>
              <w:widowControl w:val="0"/>
              <w:ind w:firstLine="720"/>
              <w:jc w:val="both"/>
              <w:rPr>
                <w:lang w:eastAsia="en-US"/>
              </w:rPr>
            </w:pPr>
            <w:r>
              <w:rPr>
                <w:szCs w:val="24"/>
                <w:lang w:eastAsia="ar-SA"/>
              </w:rPr>
              <w:t xml:space="preserve">25.2.4. Būti su kitais ir tarp kitų. </w:t>
            </w:r>
          </w:p>
        </w:tc>
        <w:tc>
          <w:tcPr>
            <w:tcW w:w="1984" w:type="dxa"/>
          </w:tcPr>
          <w:p w14:paraId="40259FB6" w14:textId="77777777" w:rsidR="00520913" w:rsidRDefault="003E3776" w:rsidP="00520913">
            <w:pPr>
              <w:jc w:val="center"/>
            </w:pPr>
            <w:r>
              <w:t>5</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698311DE" w14:textId="77777777" w:rsidR="00520913" w:rsidRDefault="00520913" w:rsidP="00520913">
            <w:pPr>
              <w:widowControl w:val="0"/>
              <w:ind w:firstLine="720"/>
              <w:jc w:val="both"/>
              <w:rPr>
                <w:szCs w:val="24"/>
                <w:lang w:eastAsia="ar-SA"/>
              </w:rPr>
            </w:pPr>
            <w:r>
              <w:rPr>
                <w:szCs w:val="24"/>
                <w:lang w:eastAsia="ar-SA"/>
              </w:rPr>
              <w:t>25.3. Bažnyčia ir liturgija.</w:t>
            </w:r>
          </w:p>
          <w:p w14:paraId="64515D05" w14:textId="77777777" w:rsidR="00520913" w:rsidRDefault="00520913" w:rsidP="003E3776">
            <w:pPr>
              <w:widowControl w:val="0"/>
              <w:ind w:firstLine="720"/>
              <w:jc w:val="both"/>
              <w:rPr>
                <w:lang w:eastAsia="en-US"/>
              </w:rPr>
            </w:pPr>
            <w:r>
              <w:rPr>
                <w:szCs w:val="24"/>
                <w:lang w:eastAsia="ar-SA"/>
              </w:rPr>
              <w:t xml:space="preserve">25.3.1. Bažnyčios kalendorius. </w:t>
            </w:r>
          </w:p>
        </w:tc>
        <w:tc>
          <w:tcPr>
            <w:tcW w:w="1984" w:type="dxa"/>
          </w:tcPr>
          <w:p w14:paraId="206A6DD2" w14:textId="77777777" w:rsidR="003E3776" w:rsidRDefault="003E3776" w:rsidP="00520913">
            <w:pPr>
              <w:jc w:val="center"/>
            </w:pPr>
          </w:p>
          <w:p w14:paraId="2E03E56F" w14:textId="77777777" w:rsidR="00520913" w:rsidRPr="003E3776" w:rsidRDefault="003E3776" w:rsidP="003E3776">
            <w:pPr>
              <w:jc w:val="center"/>
            </w:pPr>
            <w:r>
              <w:t>4</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5A019B98" w14:textId="77777777" w:rsidR="00520913" w:rsidRDefault="00520913" w:rsidP="00520913">
            <w:pPr>
              <w:widowControl w:val="0"/>
              <w:ind w:firstLine="720"/>
              <w:jc w:val="both"/>
              <w:rPr>
                <w:szCs w:val="24"/>
                <w:lang w:eastAsia="ar-SA"/>
              </w:rPr>
            </w:pPr>
            <w:r>
              <w:rPr>
                <w:szCs w:val="24"/>
                <w:lang w:eastAsia="ar-SA"/>
              </w:rPr>
              <w:t>25.4. Asmens tobulėjimas ir visuomenė.</w:t>
            </w:r>
          </w:p>
          <w:p w14:paraId="0ABB01AB" w14:textId="77777777" w:rsidR="00520913" w:rsidRDefault="00520913" w:rsidP="003E3776">
            <w:pPr>
              <w:widowControl w:val="0"/>
              <w:ind w:firstLine="720"/>
              <w:jc w:val="both"/>
              <w:rPr>
                <w:b/>
                <w:color w:val="000000"/>
                <w:lang w:eastAsia="en-US"/>
              </w:rPr>
            </w:pPr>
            <w:r>
              <w:rPr>
                <w:szCs w:val="24"/>
                <w:lang w:eastAsia="ar-SA"/>
              </w:rPr>
              <w:t xml:space="preserve">25.4.1. Bažnyčia ir visuomenė. </w:t>
            </w:r>
          </w:p>
        </w:tc>
        <w:tc>
          <w:tcPr>
            <w:tcW w:w="1984" w:type="dxa"/>
          </w:tcPr>
          <w:p w14:paraId="433BC2BB" w14:textId="77777777" w:rsidR="00520913" w:rsidRDefault="003E3776" w:rsidP="00520913">
            <w:pPr>
              <w:jc w:val="center"/>
            </w:pPr>
            <w:r>
              <w:t>4</w:t>
            </w:r>
          </w:p>
        </w:tc>
        <w:tc>
          <w:tcPr>
            <w:tcW w:w="1984" w:type="dxa"/>
          </w:tcPr>
          <w:p w14:paraId="66AA4FF4" w14:textId="77777777" w:rsidR="00520913" w:rsidRDefault="00520913" w:rsidP="00520913">
            <w:pPr>
              <w:jc w:val="center"/>
            </w:pPr>
          </w:p>
        </w:tc>
      </w:tr>
      <w:tr w:rsidR="00520913" w14:paraId="079827BA" w14:textId="77777777" w:rsidTr="00A21F9B">
        <w:tc>
          <w:tcPr>
            <w:tcW w:w="846" w:type="dxa"/>
          </w:tcPr>
          <w:p w14:paraId="208E07A9" w14:textId="19D6873F" w:rsidR="00520913" w:rsidRDefault="00B41227" w:rsidP="00520913">
            <w:pPr>
              <w:jc w:val="both"/>
            </w:pPr>
            <w:r>
              <w:t>6.</w:t>
            </w:r>
            <w:r w:rsidR="00520913">
              <w:t>.</w:t>
            </w:r>
          </w:p>
        </w:tc>
        <w:tc>
          <w:tcPr>
            <w:tcW w:w="4394" w:type="dxa"/>
          </w:tcPr>
          <w:p w14:paraId="03C8A1E9" w14:textId="77777777" w:rsidR="00520913" w:rsidRDefault="00520913" w:rsidP="00520913">
            <w:pPr>
              <w:widowControl w:val="0"/>
              <w:ind w:firstLine="720"/>
              <w:jc w:val="both"/>
              <w:rPr>
                <w:szCs w:val="24"/>
                <w:lang w:eastAsia="ar-SA"/>
              </w:rPr>
            </w:pPr>
            <w:r>
              <w:rPr>
                <w:szCs w:val="24"/>
                <w:lang w:eastAsia="ar-SA"/>
              </w:rPr>
              <w:t>25.5. Žmogus ir pasaulis.</w:t>
            </w:r>
          </w:p>
          <w:p w14:paraId="42F80E02" w14:textId="77777777" w:rsidR="00520913" w:rsidRDefault="00520913" w:rsidP="003E3776">
            <w:pPr>
              <w:widowControl w:val="0"/>
              <w:ind w:firstLine="720"/>
              <w:jc w:val="both"/>
              <w:rPr>
                <w:bCs/>
                <w:lang w:eastAsia="en-US"/>
              </w:rPr>
            </w:pPr>
            <w:r>
              <w:rPr>
                <w:szCs w:val="24"/>
                <w:lang w:eastAsia="ar-SA"/>
              </w:rPr>
              <w:t xml:space="preserve">25.5.1. Žmogus pasaulyje, pasaulis žmoguje. </w:t>
            </w:r>
          </w:p>
        </w:tc>
        <w:tc>
          <w:tcPr>
            <w:tcW w:w="1984" w:type="dxa"/>
          </w:tcPr>
          <w:p w14:paraId="413E3C91" w14:textId="77777777" w:rsidR="00520913" w:rsidRDefault="00520913" w:rsidP="00520913">
            <w:pPr>
              <w:jc w:val="center"/>
            </w:pPr>
            <w:r>
              <w:t>6</w:t>
            </w:r>
          </w:p>
        </w:tc>
        <w:tc>
          <w:tcPr>
            <w:tcW w:w="1984" w:type="dxa"/>
          </w:tcPr>
          <w:p w14:paraId="0BA6585A" w14:textId="77777777" w:rsidR="00520913" w:rsidRDefault="00520913" w:rsidP="00520913">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E3776"/>
    <w:rsid w:val="00520913"/>
    <w:rsid w:val="00546379"/>
    <w:rsid w:val="006861C0"/>
    <w:rsid w:val="008F5765"/>
    <w:rsid w:val="00AE059B"/>
    <w:rsid w:val="00B4122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2652</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2023-05-29T11:37:00Z</dcterms:created>
  <dcterms:modified xsi:type="dcterms:W3CDTF">2023-06-01T08:59:00Z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