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29" w:rsidRDefault="006A5643" w:rsidP="006A5643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Geografijos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ilgalaikis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planas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klasei</w:t>
      </w:r>
      <w:proofErr w:type="spellEnd"/>
    </w:p>
    <w:p w:rsidR="00D93E29" w:rsidRDefault="006A5643">
      <w:pPr>
        <w:pStyle w:val="Default"/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>
        <w:t xml:space="preserve">Ilgalaikio plano pavyzdys pateikiamas vadovaujantis </w:t>
      </w:r>
      <w:r>
        <w:rPr>
          <w:shd w:val="clear" w:color="auto" w:fill="FFFFFF"/>
        </w:rPr>
        <w:t>Geografijos bendrosios programos (toliau – BP) nuostatomis.</w:t>
      </w:r>
      <w:r>
        <w:rPr>
          <w:bCs/>
          <w:lang w:val="fi-FI"/>
        </w:rPr>
        <w:t xml:space="preserve"> </w:t>
      </w:r>
    </w:p>
    <w:p w:rsidR="00D93E29" w:rsidRDefault="006A564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Ilgalaikio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pavyzdyje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Bendruosiuose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paskirstymas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3E29" w:rsidRDefault="006A5643">
      <w:pPr>
        <w:pStyle w:val="ListParagraph"/>
        <w:numPr>
          <w:ilvl w:val="0"/>
          <w:numId w:val="1"/>
        </w:num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stulpelyje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Valandos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skyriaus nagrinėjamų temų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pasiekimams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Skyriams numatytas didesnis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ų skaičius nei yra temų.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ateiktą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atsižve</w:t>
      </w:r>
      <w:r>
        <w:rPr>
          <w:rFonts w:ascii="Times New Roman" w:hAnsi="Times New Roman" w:cs="Times New Roman"/>
          <w:sz w:val="24"/>
          <w:szCs w:val="24"/>
        </w:rPr>
        <w:t>lgdamas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planuojamus atsiskaitymus,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3E29" w:rsidRDefault="006A5643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stulpelyje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Mokymosi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turinys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E29" w:rsidRDefault="006A5643">
      <w:pPr>
        <w:pStyle w:val="ListParagraph"/>
        <w:numPr>
          <w:ilvl w:val="0"/>
          <w:numId w:val="1"/>
        </w:numPr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stulpelyje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Pasiekimai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3E29" w:rsidRDefault="006A5643">
      <w:pPr>
        <w:pStyle w:val="ListParagraph"/>
        <w:numPr>
          <w:ilvl w:val="0"/>
          <w:numId w:val="1"/>
        </w:numPr>
        <w:spacing w:after="1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stulpelyje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en-US"/>
        </w:rPr>
        <w:t>Kompetencijų ugdymas dalyku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ugdomos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D93E29" w:rsidRDefault="006A5643">
      <w:pPr>
        <w:pStyle w:val="ListParagraph"/>
        <w:numPr>
          <w:ilvl w:val="0"/>
          <w:numId w:val="1"/>
        </w:numPr>
        <w:spacing w:after="1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stulpelyje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tegracija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rekomendacijos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galimyb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D93E29" w:rsidRDefault="006A5643">
      <w:pPr>
        <w:spacing w:after="12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ilgalaikio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nebūtina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ilgalaikių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atsižvelgti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(-ų)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ilgalaikį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ūtų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informatyvus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padėtų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trumpesnio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laikotarpio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pvz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pasiekimai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sąsajos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tarpdalykinėmis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planav</w:t>
      </w:r>
      <w:r>
        <w:rPr>
          <w:rFonts w:ascii="Times New Roman" w:hAnsi="Times New Roman" w:cs="Times New Roman"/>
          <w:sz w:val="24"/>
          <w:szCs w:val="24"/>
        </w:rPr>
        <w:t>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Veiklų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planavimo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ir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kompetencijų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ugdymo</w:t>
      </w:r>
      <w:proofErr w:type="spellEnd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pavyzdžiai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93E29" w:rsidRDefault="006A5643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proofErr w:type="spellStart"/>
      <w:r w:rsidRPr="006A56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Pamokų</w:t>
      </w:r>
      <w:proofErr w:type="spellEnd"/>
      <w:r w:rsidRPr="006A56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6A56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skaičius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mokslo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metus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lt-LT" w:eastAsia="en-US"/>
        </w:rPr>
        <w:t>103 pamokos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659"/>
        <w:gridCol w:w="3589"/>
        <w:gridCol w:w="1140"/>
        <w:gridCol w:w="6540"/>
        <w:gridCol w:w="1975"/>
        <w:gridCol w:w="1538"/>
      </w:tblGrid>
      <w:tr w:rsidR="00D93E29">
        <w:tc>
          <w:tcPr>
            <w:tcW w:w="659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Mokymosi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turinys</w:t>
            </w:r>
            <w:proofErr w:type="spellEnd"/>
          </w:p>
        </w:tc>
        <w:tc>
          <w:tcPr>
            <w:tcW w:w="1140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andos</w:t>
            </w:r>
            <w:proofErr w:type="spellEnd"/>
          </w:p>
        </w:tc>
        <w:tc>
          <w:tcPr>
            <w:tcW w:w="6540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sritis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Pasiekimai</w:t>
            </w:r>
            <w:proofErr w:type="spellEnd"/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 w:eastAsia="en-US"/>
              </w:rPr>
              <w:t>Kompetencijų ugdymas dalyku</w:t>
            </w: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proofErr w:type="spellEnd"/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D93E29" w:rsidRDefault="006A5643">
            <w:pPr>
              <w:pStyle w:val="Default"/>
            </w:pPr>
            <w:r>
              <w:t>Įvadas. Supažindinimas su 1</w:t>
            </w:r>
            <w:r>
              <w:t>2</w:t>
            </w:r>
            <w:r>
              <w:t xml:space="preserve"> klasės kurso programa.</w:t>
            </w: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</w:tcPr>
          <w:p w:rsidR="00D93E29" w:rsidRDefault="006A5643">
            <w:pPr>
              <w:pStyle w:val="Default"/>
            </w:pPr>
            <w:r>
              <w:t xml:space="preserve">Susipažįsta su geografijos </w:t>
            </w:r>
            <w:r>
              <w:t>12</w:t>
            </w:r>
            <w:r>
              <w:t xml:space="preserve"> klasės programa, darbo metodų įvairove, atsiskaitymo būdais ir vertinimo sistema.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</w:p>
        </w:tc>
        <w:tc>
          <w:tcPr>
            <w:tcW w:w="1538" w:type="dxa"/>
          </w:tcPr>
          <w:p w:rsidR="00D93E29" w:rsidRDefault="00D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89" w:type="dxa"/>
          </w:tcPr>
          <w:p w:rsidR="00D93E29" w:rsidRDefault="006A5643">
            <w:pPr>
              <w:pStyle w:val="Default"/>
            </w:pPr>
            <w:r>
              <w:t>Kartojimas</w:t>
            </w: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</w:tcPr>
          <w:p w:rsidR="00D93E29" w:rsidRDefault="006A5643">
            <w:pPr>
              <w:pStyle w:val="Default"/>
            </w:pPr>
            <w:r>
              <w:t xml:space="preserve">Tikslingai naudoja kartografinius šaltinius savarankiškam orientavimuisi nepažįstamoje aplinkoje ir vietovėje. </w:t>
            </w:r>
          </w:p>
          <w:p w:rsidR="00D93E29" w:rsidRDefault="006A5643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Naudoja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kritiškai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įvairiuose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geografiniuose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šaltiniuose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pateikiama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informaciją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proofErr w:type="spellEnd"/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</w:tcPr>
          <w:p w:rsidR="00D93E29" w:rsidRDefault="006A5643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Besikeičianti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sektoriai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Pramonės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šakos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Lietuvos pramonės šakos.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Pramonės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paslaugų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sektoriaus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išsidėstymas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Lietuvos paslaugų sektorius.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Konkrečios Lietuvos įmonės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išdėstymo veiksnių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analizė.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Inovacijos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Inovacijos Lietuvos ūkyje.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Tausojanti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Europos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žaliasis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kursas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specializacija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intensyvumas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Tarptautiniai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susivienijimai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2"/>
              </w:num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Tarptautinio susivienijimo (pasirinktai)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veiklos analizė.</w:t>
            </w: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17</w:t>
            </w:r>
          </w:p>
        </w:tc>
        <w:tc>
          <w:tcPr>
            <w:tcW w:w="6540" w:type="dxa"/>
          </w:tcPr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sektorių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vaidmens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skirtumai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skirtingo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šalyse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tradicinių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šiuolaikinių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pramonės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šakų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vaidmuo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šalių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ekonomikoje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nagrinėjami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skirtingos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pramoninės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gamybos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pramonės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paslaugų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sektoriaus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išdėstymo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veiksniai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globaliu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lygiu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inovacijų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svarba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ekonominiams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ciklams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plėtra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tausojamos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aspektais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Apibūdinami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žemė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organizavimo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taikymo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priklausomybė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sąlygų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veiksnių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iššūkiai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ūkiui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atsižvelgiama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pagrindines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ūkio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politikos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priemones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priklausomybę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ūkio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ukcijos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rinkų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specializacijos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intensyvinamo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ūkio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reikšmė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poveikis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aplinkai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didinant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ūkio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produkcijos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gamybą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tarptautiniai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susivienijimai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(ES, OPEC, ASEAN),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vykdomos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politiko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įtaka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Pažintinė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  <w:proofErr w:type="spellEnd"/>
          </w:p>
          <w:p w:rsidR="00D93E29" w:rsidRDefault="00D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Ekonomika,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proofErr w:type="spellEnd"/>
          </w:p>
        </w:tc>
      </w:tr>
      <w:tr w:rsidR="00D93E29">
        <w:trPr>
          <w:trHeight w:val="6002"/>
        </w:trPr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93E29" w:rsidRDefault="006A5643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Globalus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pasaulis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Globalios kultūros apraiškos Lietuvoje.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Lietuvos turizmo ištekliai.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rūšys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sektorius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Turizmo sektorius Lietuvoje.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Pasaulio regionų turizmo statistikos analizė ir vertinimas.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Tarptautinė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prekyba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Tarptautinės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bendrovės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Tarptautinių bendrovių veikla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Lietuvoje.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Protekcionizmas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eastAsia="Calibri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Antiglobalistiniai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judėjimai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eastAsia="Calibri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Vartojimas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globalizacija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eastAsia="Calibri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Globalizacijos pavyzdžiai artimoje aplinkoje.</w:t>
            </w: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6540" w:type="dxa"/>
          </w:tcPr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Paaiškinamos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formavimosi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priežastys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pasireiškimo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požymiai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įtaka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lygmeniu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pirminiai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antriniai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reikšmė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plėtrai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Lietuvoje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Europoje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pasaulyje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rūšys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atsiradimo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plėtros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veiksniai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regionini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globaliu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lygmeniu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darnaus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plėtros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būtinybė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turizmo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sektoriaus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reikšmė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tarptautinės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prekybos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mastai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pasaulyje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atskirų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regionų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vaidmuo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ekonomikoje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tautinių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bendrovių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privalumai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trūkumai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Paaiškinama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protekcionizmo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daroma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įtaka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politikai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antiglobalistinių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judėjimų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atsiradimo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priežastys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siekiai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rtinama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globalizacijos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įtaka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žmonių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vartojimo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įpročiams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elgsenai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mobilumui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komunikacijai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Pilietiškumo,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Kultūrinė,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Ekonomika,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Matematika,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Informacinės technologijos</w:t>
            </w:r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93E29" w:rsidRDefault="006A564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darnus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valdymas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Gamtos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pasiskirstymas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Gamtos išteklių įtaka gamybos išdėstymui.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pasiskirstymas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Darnaus maisto gamybos sistemos.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Geriamo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Konfliktai dėl gėlo vandens.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Požeminiai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vandenys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Energetiniai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Energetinių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pasiskirstymas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Tradicinių energijos išteklių svarba.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Atsinaujinanti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energetika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Lietuvos energetikos sistema.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Atsinaujinanti energetika Lietuvoje.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vartojimas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Konkrečių atsakingo vartojimo pavyzdžių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analizė.</w:t>
            </w: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18</w:t>
            </w:r>
          </w:p>
        </w:tc>
        <w:tc>
          <w:tcPr>
            <w:tcW w:w="6540" w:type="dxa"/>
          </w:tcPr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netolygaus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geografinis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pasiskirstymas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pasiekiamumas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tarpusavio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ryšiai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priklausomybė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apsirūpinimo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skirtumai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pasaulyje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padariniai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emonės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gerinančios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apsirūpinimą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pasaulyje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gamybos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Paaiškinamos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apsirūpinimo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galimybės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pavojai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konfliktai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kylantys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trūkumo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požeminio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susidarymo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sąlygos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požeminio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reikšmė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augantis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energijos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poreikis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iššūkiai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kylantys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netoly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apsirūpinimo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tradicinių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energijos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svarba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skirtinguose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teritorinės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erdvės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lygiuose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iškastinio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gavybos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keliamos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grėsmės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atsinaujinančių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energijos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panaudojimo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galimyb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skirtingą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potencialą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didinti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išteklių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vartojimo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efektyvumą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žmogaus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asmeninio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indėlio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svarba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šiam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tikslui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pasiekti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Pažintinė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Pilietinė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Ekonomika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Biologija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  <w:p w:rsidR="00D93E29" w:rsidRDefault="00D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93E29" w:rsidRDefault="006A56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kaita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temperatūriniai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pokyčiai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Šiltnamio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efektas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Antropogeniniai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veiksniai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klimatui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Pokytis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geosferose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padariniai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Klimato kaitos padariniai Lietuvoje.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scenarijai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Poveikio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S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usitarimai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poveikio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Klimato kaitos konferencijos.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Neutralaus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gyvenimo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būdo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principai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93E29" w:rsidRDefault="006A5643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Neutralaus gyvenimo būdo principai Lietuvoje.</w:t>
            </w:r>
          </w:p>
          <w:p w:rsidR="00D93E29" w:rsidRDefault="00D93E29">
            <w:pPr>
              <w:rPr>
                <w:rFonts w:eastAsia="Calibri"/>
                <w:szCs w:val="24"/>
              </w:rPr>
            </w:pP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15</w:t>
            </w:r>
          </w:p>
        </w:tc>
        <w:tc>
          <w:tcPr>
            <w:tcW w:w="6540" w:type="dxa"/>
          </w:tcPr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vidutinės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temperatūros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pokyčiai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XIX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Paaiškinamas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natūralusis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šiltnamio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efektas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pokyčiai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susiję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Žemės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orbitos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parametrų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Saulės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aktyvumo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ciklais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ugnikalnių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išsiveržimu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antropogeninių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veiksnių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poveikis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šiltnamio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efekto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stiprėj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imui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šiltnamio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efektą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sukeliančių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dujų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emisijos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šaltiniai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susiję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sparčia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ekonomikos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plėtra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Apibūdinami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sukelti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pokyčiai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atmosferoje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hidrosferoje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biosferoje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pasekmės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globaliniu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prognozuojami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kaitos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sukeltų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pokyčių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galimi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ateities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scenarijai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kaitos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sukeltas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poveikis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rizika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skirtingo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šalyse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tarptautiniai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susitarimai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mažinti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prisitaikymo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pokyčių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Analizuojamos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klimato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kaitos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švelninimo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Apibūdina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klimatui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neutralaus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gyvenimo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būdo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principai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įgyvendinimas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Lietuvoje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Pažintinė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</w:t>
            </w:r>
          </w:p>
        </w:tc>
      </w:tr>
      <w:tr w:rsidR="00D93E29">
        <w:trPr>
          <w:trHeight w:val="3994"/>
        </w:trPr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93E29" w:rsidRDefault="006A5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skirtumai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pasaulyje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nelygybės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mažinimas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gerovės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samprata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Darnaus vystymosi svarba šiuolaikiniame pasaulyje.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rodikliai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Pažangos statistinių duomenų analizė.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plėtra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Europos šalių ekonominės plėtros apžvalga.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Moterų švietimo svarba.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nelygybės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mažinimas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Nelygybės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mažinimas Lietuvoje.</w:t>
            </w:r>
          </w:p>
          <w:p w:rsidR="00D93E29" w:rsidRDefault="006A56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Vystomasis b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endradarbiavimas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6540" w:type="dxa"/>
          </w:tcPr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kritiškai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gerovės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samprata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pagrindžiama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vystymosi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svarba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šiuolaikiniame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pasaulyje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valstybės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remiantis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įvairiais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rodikliais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Nurodomos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netolygaus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plėtros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priežastys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visaverčio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lyčių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lygybės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užtikrinimo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svarba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gerovei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tarptautinės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pastangos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padedančios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mažinti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nelygybę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regioniniu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Aiškinamos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vystomojo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bendradarbiavimo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galimybės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reikšmė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Informacinės technologijos</w:t>
            </w:r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93E29" w:rsidRDefault="006A5643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Tarptautiniai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ryšiai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taikai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užtikrinti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politika.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Taikos politika skirtinguose pasaulio regionuose.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Melaginga informacija apie karinius konfliktus.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Valstybių p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olitik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požymiai.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konfliktai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Aneksuotų teritorijų situacijos apžvalga.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Konfliktų sprendimo 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užkardimo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būdai.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Taiką užtikrinantys s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usivienijimai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narystės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tarptautiniuose susivienijimuose.</w:t>
            </w:r>
          </w:p>
          <w:p w:rsidR="00D93E29" w:rsidRDefault="006A56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-1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Taikos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indeksas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12</w:t>
            </w:r>
          </w:p>
        </w:tc>
        <w:tc>
          <w:tcPr>
            <w:tcW w:w="6540" w:type="dxa"/>
          </w:tcPr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Aiškinami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įvairūs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taikos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sąvokos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aspektai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užtikrinti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taikos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politiką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politinius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požymius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Nagrinėjamos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XXI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konfliktų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priežastys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pobūdis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aneksuotų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teritorijų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aplinkybės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nurodomi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konfliktų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sprendimo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užkardinimo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Nurodomi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konfliktų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židiniai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Vertinamas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ES, NATO, JT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vaidmuo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užtikrinant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taiką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pasaulyje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Nurodoma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Lietuvos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narystės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tarptautiniuose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susivienijimuose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nauda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mūsų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valstybei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aiškinami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iššūkiai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kuriais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susiduriama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tarptautiniame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kontekste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ėjami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Pasaulio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taikos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indekso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indikatoriai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šalys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vertinamos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taikos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užtikrinimo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lygį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Pažintinė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proofErr w:type="spellEnd"/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</w:tcPr>
          <w:p w:rsidR="00D93E29" w:rsidRDefault="006A56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Kartojimas</w:t>
            </w:r>
            <w:proofErr w:type="spellEnd"/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540" w:type="dxa"/>
          </w:tcPr>
          <w:p w:rsidR="00D93E29" w:rsidRDefault="006A5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Grįžtamoji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informacija</w:t>
            </w:r>
            <w:proofErr w:type="spellEnd"/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Pažinimo</w:t>
            </w:r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</w:p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D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29">
        <w:tc>
          <w:tcPr>
            <w:tcW w:w="659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93E29" w:rsidRDefault="006A56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aptarimas</w:t>
            </w:r>
            <w:proofErr w:type="spellEnd"/>
          </w:p>
        </w:tc>
        <w:tc>
          <w:tcPr>
            <w:tcW w:w="1140" w:type="dxa"/>
          </w:tcPr>
          <w:p w:rsidR="00D93E29" w:rsidRDefault="006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</w:tcPr>
          <w:p w:rsidR="00D93E29" w:rsidRDefault="00D93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D93E29" w:rsidRDefault="006A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</w:tc>
        <w:tc>
          <w:tcPr>
            <w:tcW w:w="1538" w:type="dxa"/>
          </w:tcPr>
          <w:p w:rsidR="00D93E29" w:rsidRDefault="00D9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E29" w:rsidRDefault="00D93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E29" w:rsidRDefault="00D93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E29" w:rsidRDefault="00D93E29">
      <w:pPr>
        <w:rPr>
          <w:lang w:val="lt-LT"/>
        </w:rPr>
      </w:pPr>
    </w:p>
    <w:sectPr w:rsidR="00D93E2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9A202C"/>
    <w:multiLevelType w:val="singleLevel"/>
    <w:tmpl w:val="A99A202C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FB3B0FD"/>
    <w:multiLevelType w:val="singleLevel"/>
    <w:tmpl w:val="AFB3B0FD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0CA8A3E"/>
    <w:multiLevelType w:val="singleLevel"/>
    <w:tmpl w:val="00CA8A3E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38932E8A"/>
    <w:multiLevelType w:val="multilevel"/>
    <w:tmpl w:val="38932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2A02"/>
    <w:multiLevelType w:val="singleLevel"/>
    <w:tmpl w:val="43212A02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55095B0C"/>
    <w:multiLevelType w:val="singleLevel"/>
    <w:tmpl w:val="55095B0C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F9A0871"/>
    <w:multiLevelType w:val="singleLevel"/>
    <w:tmpl w:val="5F9A0871"/>
    <w:lvl w:ilvl="0">
      <w:start w:val="1"/>
      <w:numFmt w:val="decimal"/>
      <w:suff w:val="space"/>
      <w:lvlText w:val="%1)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31B7"/>
    <w:rsid w:val="006A5643"/>
    <w:rsid w:val="00D93E29"/>
    <w:rsid w:val="30E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BC0DD-99B4-4D80-948D-90EF038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CFE4C-C2E0-488C-AB68-6726FA02C474}"/>
</file>

<file path=customXml/itemProps3.xml><?xml version="1.0" encoding="utf-8"?>
<ds:datastoreItem xmlns:ds="http://schemas.openxmlformats.org/officeDocument/2006/customXml" ds:itemID="{346DA530-94DD-473E-BEBB-FCD78881BD9A}"/>
</file>

<file path=customXml/itemProps4.xml><?xml version="1.0" encoding="utf-8"?>
<ds:datastoreItem xmlns:ds="http://schemas.openxmlformats.org/officeDocument/2006/customXml" ds:itemID="{DB235364-3217-485E-8ADA-DE889C238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7210</Words>
  <Characters>4111</Characters>
  <Application>Microsoft Office Word</Application>
  <DocSecurity>0</DocSecurity>
  <Lines>34</Lines>
  <Paragraphs>22</Paragraphs>
  <ScaleCrop>false</ScaleCrop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UPC</cp:lastModifiedBy>
  <cp:revision>2</cp:revision>
  <dcterms:created xsi:type="dcterms:W3CDTF">2023-06-01T12:27:00Z</dcterms:created>
  <dcterms:modified xsi:type="dcterms:W3CDTF">2023-06-01T15:10:00Z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ContentTypeId">
    <vt:lpwstr>0x0101007DD360A5AE058E48B608F8E82876A3B4</vt:lpwstr>
  </property>
</Properties>
</file>