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0046B" w14:textId="77777777" w:rsidR="00190CDA" w:rsidRDefault="00190CDA" w:rsidP="00190CDA">
      <w:pPr>
        <w:jc w:val="center"/>
        <w:rPr>
          <w:szCs w:val="24"/>
          <w:lang w:eastAsia="ar-SA"/>
        </w:rPr>
      </w:pPr>
      <w:r>
        <w:rPr>
          <w:rStyle w:val="normaltextrun"/>
          <w:b/>
          <w:bCs/>
          <w:color w:val="000000"/>
          <w:bdr w:val="none" w:sz="0" w:space="0" w:color="auto" w:frame="1"/>
        </w:rPr>
        <w:t>KATALIKŲ TIKYBOS  ILGALAIKIO PLANO RENGIMAS</w:t>
      </w:r>
    </w:p>
    <w:p w14:paraId="4FB6574F" w14:textId="77777777" w:rsidR="00190CDA" w:rsidRDefault="00190CDA" w:rsidP="00190CDA">
      <w:pPr>
        <w:rPr>
          <w:szCs w:val="24"/>
          <w:lang w:eastAsia="ar-SA"/>
        </w:rPr>
      </w:pPr>
    </w:p>
    <w:p w14:paraId="214054C2" w14:textId="77777777" w:rsidR="00190CDA" w:rsidRDefault="00190CDA" w:rsidP="00190CDA">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Katalikų tikybos bendrosios programos (toliau – BP) įgyvendinimo rekomendacijų dalyje </w:t>
      </w:r>
      <w:hyperlink r:id="rId8" w:history="1">
        <w:r>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3C004EE6" w14:textId="77777777" w:rsidR="00190CDA" w:rsidRDefault="00190CDA" w:rsidP="00190CDA">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72DF9EC6" w14:textId="77777777" w:rsidR="00190CDA" w:rsidRDefault="00190CDA" w:rsidP="00190CDA">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7DB0E3D" w14:textId="77777777" w:rsidR="00190CDA" w:rsidRDefault="00190CDA" w:rsidP="00190CDA">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9BDFAD2" w14:textId="77777777" w:rsidR="00190CDA" w:rsidRDefault="00190CDA" w:rsidP="00190CD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084C4121" w14:textId="77777777" w:rsidR="00190CDA" w:rsidRDefault="00190CDA" w:rsidP="00190CDA">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706B45C2"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Katalikų tikybos bendrosios programos (toliau – BP)  mokymosi turinio sritis ir tema, kurią mokytojas gali pasipildyti/pasikeisti savo nuožiūra;</w:t>
      </w:r>
      <w:r>
        <w:rPr>
          <w:rStyle w:val="eop"/>
        </w:rPr>
        <w:t> </w:t>
      </w:r>
    </w:p>
    <w:p w14:paraId="5E601B36"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800CAA6" w14:textId="77777777" w:rsidR="00190CDA" w:rsidRDefault="00190CDA" w:rsidP="00190CDA">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16B0896" w14:textId="77777777" w:rsidR="00190CDA" w:rsidRDefault="00190CDA" w:rsidP="00190CDA">
      <w:pPr>
        <w:pStyle w:val="paragraph"/>
        <w:spacing w:before="0" w:beforeAutospacing="0" w:after="0" w:afterAutospacing="0"/>
        <w:ind w:left="360"/>
        <w:jc w:val="center"/>
        <w:textAlignment w:val="baseline"/>
        <w:rPr>
          <w:rStyle w:val="normaltextrun"/>
          <w:b/>
          <w:bCs/>
        </w:rPr>
      </w:pPr>
    </w:p>
    <w:p w14:paraId="42354ADE" w14:textId="2F0CFFA9" w:rsidR="00190CDA" w:rsidRDefault="00190CDA" w:rsidP="00190CDA">
      <w:pPr>
        <w:pStyle w:val="paragraph"/>
        <w:spacing w:before="0" w:beforeAutospacing="0" w:after="0" w:afterAutospacing="0"/>
        <w:ind w:left="360"/>
        <w:jc w:val="center"/>
        <w:textAlignment w:val="baseline"/>
        <w:rPr>
          <w:rStyle w:val="normaltextrun"/>
          <w:b/>
          <w:bCs/>
        </w:rPr>
      </w:pPr>
      <w:r>
        <w:rPr>
          <w:rStyle w:val="normaltextrun"/>
          <w:b/>
          <w:bCs/>
        </w:rPr>
        <w:t>KATALIKŲ TIKYBOS</w:t>
      </w:r>
      <w:r w:rsidR="00B4794C">
        <w:rPr>
          <w:rStyle w:val="normaltextrun"/>
          <w:b/>
          <w:bCs/>
        </w:rPr>
        <w:t xml:space="preserve">  ILGALAIKIS  PLANAS 3</w:t>
      </w:r>
      <w:bookmarkStart w:id="0" w:name="_GoBack"/>
      <w:bookmarkEnd w:id="0"/>
      <w:r>
        <w:rPr>
          <w:rStyle w:val="normaltextrun"/>
          <w:b/>
          <w:bCs/>
        </w:rPr>
        <w:t xml:space="preserve"> KLASEI</w:t>
      </w:r>
    </w:p>
    <w:p w14:paraId="11860177" w14:textId="77777777" w:rsidR="00190CDA" w:rsidRDefault="00190CDA" w:rsidP="00190CDA">
      <w:pPr>
        <w:rPr>
          <w:szCs w:val="24"/>
          <w:lang w:eastAsia="ar-SA"/>
        </w:rPr>
      </w:pPr>
    </w:p>
    <w:p w14:paraId="5CF2EB66" w14:textId="77777777" w:rsidR="00190CDA" w:rsidRDefault="00190CDA" w:rsidP="00190CDA">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6E3D9898"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C13F8AD"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3537EF9F"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F07A62" w14:textId="77777777" w:rsidR="001343FA" w:rsidRDefault="001343FA"/>
    <w:p w14:paraId="4D93D05A" w14:textId="77777777" w:rsidR="00190CDA" w:rsidRDefault="00190CDA" w:rsidP="00190CDA">
      <w:pPr>
        <w:jc w:val="center"/>
        <w:rPr>
          <w:b/>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678"/>
        <w:gridCol w:w="1842"/>
        <w:gridCol w:w="1842"/>
      </w:tblGrid>
      <w:tr w:rsidR="00190CDA" w14:paraId="4439140E" w14:textId="77777777" w:rsidTr="00190CDA">
        <w:tc>
          <w:tcPr>
            <w:tcW w:w="846" w:type="dxa"/>
          </w:tcPr>
          <w:p w14:paraId="3AACE2DD" w14:textId="77777777" w:rsidR="00190CDA" w:rsidRDefault="00190CDA" w:rsidP="00190CDA">
            <w:pPr>
              <w:jc w:val="both"/>
            </w:pPr>
            <w:r w:rsidRPr="00074F19">
              <w:rPr>
                <w:b/>
              </w:rPr>
              <w:t>EIL. NR.</w:t>
            </w:r>
          </w:p>
        </w:tc>
        <w:tc>
          <w:tcPr>
            <w:tcW w:w="4678" w:type="dxa"/>
          </w:tcPr>
          <w:p w14:paraId="15880DC8" w14:textId="77777777" w:rsidR="00190CDA" w:rsidRDefault="00190CDA" w:rsidP="00190CDA">
            <w:pPr>
              <w:ind w:firstLine="720"/>
              <w:jc w:val="center"/>
              <w:rPr>
                <w:lang w:eastAsia="en-US"/>
              </w:rPr>
            </w:pPr>
            <w:r>
              <w:rPr>
                <w:b/>
                <w:lang w:eastAsia="en-US"/>
              </w:rPr>
              <w:t>MOKYMOSI TURINIO SRITIS, TEMA</w:t>
            </w:r>
          </w:p>
        </w:tc>
        <w:tc>
          <w:tcPr>
            <w:tcW w:w="1842" w:type="dxa"/>
          </w:tcPr>
          <w:p w14:paraId="1F856ECD" w14:textId="77777777" w:rsidR="00190CDA" w:rsidRDefault="00190CDA" w:rsidP="00603279">
            <w:pPr>
              <w:jc w:val="center"/>
              <w:rPr>
                <w:b/>
                <w:lang w:eastAsia="en-US"/>
              </w:rPr>
            </w:pPr>
            <w:r>
              <w:rPr>
                <w:b/>
                <w:lang w:eastAsia="en-US"/>
              </w:rPr>
              <w:t>70 proc.</w:t>
            </w:r>
          </w:p>
          <w:p w14:paraId="5CF86A57" w14:textId="77777777" w:rsidR="00190CDA" w:rsidRDefault="00190CDA" w:rsidP="00603279">
            <w:pPr>
              <w:ind w:firstLine="30"/>
              <w:jc w:val="center"/>
              <w:rPr>
                <w:lang w:eastAsia="en-US"/>
              </w:rPr>
            </w:pPr>
            <w:r>
              <w:rPr>
                <w:b/>
                <w:lang w:eastAsia="en-US"/>
              </w:rPr>
              <w:t>27 val.</w:t>
            </w:r>
          </w:p>
        </w:tc>
        <w:tc>
          <w:tcPr>
            <w:tcW w:w="1842" w:type="dxa"/>
          </w:tcPr>
          <w:p w14:paraId="41146A77" w14:textId="77777777" w:rsidR="00190CDA" w:rsidRDefault="00190CDA" w:rsidP="00603279">
            <w:pPr>
              <w:ind w:firstLine="33"/>
              <w:jc w:val="center"/>
              <w:rPr>
                <w:b/>
                <w:lang w:eastAsia="en-US"/>
              </w:rPr>
            </w:pPr>
            <w:r>
              <w:rPr>
                <w:b/>
                <w:lang w:eastAsia="en-US"/>
              </w:rPr>
              <w:t>30 proc.</w:t>
            </w:r>
          </w:p>
          <w:p w14:paraId="47452F6C" w14:textId="77777777" w:rsidR="00190CDA" w:rsidRDefault="00190CDA" w:rsidP="00603279">
            <w:pPr>
              <w:ind w:firstLine="33"/>
              <w:jc w:val="center"/>
              <w:rPr>
                <w:b/>
                <w:lang w:eastAsia="en-US"/>
              </w:rPr>
            </w:pPr>
            <w:r>
              <w:rPr>
                <w:b/>
                <w:lang w:eastAsia="en-US"/>
              </w:rPr>
              <w:t>8 val.</w:t>
            </w:r>
          </w:p>
        </w:tc>
      </w:tr>
      <w:tr w:rsidR="00892F8B" w14:paraId="1C04EF9C" w14:textId="77777777" w:rsidTr="00190CDA">
        <w:tc>
          <w:tcPr>
            <w:tcW w:w="846" w:type="dxa"/>
          </w:tcPr>
          <w:p w14:paraId="5CC34469" w14:textId="6C41601A" w:rsidR="00892F8B" w:rsidRDefault="00892F8B" w:rsidP="00892F8B">
            <w:pPr>
              <w:jc w:val="both"/>
            </w:pPr>
            <w:r>
              <w:t>1.</w:t>
            </w:r>
          </w:p>
        </w:tc>
        <w:tc>
          <w:tcPr>
            <w:tcW w:w="4678" w:type="dxa"/>
          </w:tcPr>
          <w:p w14:paraId="4A245C7E" w14:textId="537B9A12" w:rsidR="00892F8B" w:rsidRDefault="00892F8B" w:rsidP="00892F8B">
            <w:pPr>
              <w:pStyle w:val="ListParagraph"/>
              <w:ind w:left="30" w:firstLine="30"/>
              <w:rPr>
                <w:bCs/>
              </w:rPr>
            </w:pPr>
            <w:r>
              <w:rPr>
                <w:bCs/>
              </w:rPr>
              <w:t>Ko mokysimės šiais metais? Supažindinimas su katalikų  tikybos programa, 3 klasės mokymosi turiniu, pasiekimų vertinimo ir įsivertinimo kriterijais.</w:t>
            </w:r>
          </w:p>
        </w:tc>
        <w:tc>
          <w:tcPr>
            <w:tcW w:w="1842" w:type="dxa"/>
          </w:tcPr>
          <w:p w14:paraId="6FFD1A46" w14:textId="77777777" w:rsidR="00892F8B" w:rsidRPr="00190CDA" w:rsidRDefault="00892F8B" w:rsidP="00892F8B">
            <w:pPr>
              <w:jc w:val="center"/>
            </w:pPr>
            <w:r w:rsidRPr="00190CDA">
              <w:t>1</w:t>
            </w:r>
          </w:p>
        </w:tc>
        <w:tc>
          <w:tcPr>
            <w:tcW w:w="1842" w:type="dxa"/>
          </w:tcPr>
          <w:p w14:paraId="5BE5DABA" w14:textId="77777777" w:rsidR="00892F8B" w:rsidRPr="00986DF1" w:rsidRDefault="00892F8B" w:rsidP="00892F8B">
            <w:pPr>
              <w:jc w:val="center"/>
              <w:rPr>
                <w:highlight w:val="yellow"/>
              </w:rPr>
            </w:pPr>
          </w:p>
        </w:tc>
      </w:tr>
      <w:tr w:rsidR="00892F8B" w14:paraId="1BEAB7CA" w14:textId="77777777" w:rsidTr="00190CDA">
        <w:tc>
          <w:tcPr>
            <w:tcW w:w="846" w:type="dxa"/>
          </w:tcPr>
          <w:p w14:paraId="0468E594" w14:textId="72F36DA3" w:rsidR="00892F8B" w:rsidRDefault="00892F8B" w:rsidP="00892F8B">
            <w:pPr>
              <w:jc w:val="both"/>
            </w:pPr>
            <w:r>
              <w:t>2.</w:t>
            </w:r>
          </w:p>
        </w:tc>
        <w:tc>
          <w:tcPr>
            <w:tcW w:w="4678" w:type="dxa"/>
          </w:tcPr>
          <w:p w14:paraId="516329DB" w14:textId="77777777" w:rsidR="00892F8B" w:rsidRDefault="00892F8B" w:rsidP="00603279">
            <w:pPr>
              <w:suppressAutoHyphens/>
              <w:ind w:firstLine="33"/>
              <w:jc w:val="both"/>
              <w:rPr>
                <w:bCs/>
                <w:szCs w:val="24"/>
              </w:rPr>
            </w:pPr>
            <w:r>
              <w:rPr>
                <w:bCs/>
                <w:szCs w:val="24"/>
              </w:rPr>
              <w:t>27.1. </w:t>
            </w:r>
            <w:r>
              <w:rPr>
                <w:szCs w:val="24"/>
              </w:rPr>
              <w:t>Šventojo Rašto pažinimas</w:t>
            </w:r>
            <w:r>
              <w:rPr>
                <w:bCs/>
                <w:szCs w:val="24"/>
              </w:rPr>
              <w:t>.</w:t>
            </w:r>
          </w:p>
          <w:p w14:paraId="67DEDB15" w14:textId="06910317" w:rsidR="00892F8B" w:rsidRPr="0022266C" w:rsidRDefault="00892F8B" w:rsidP="00603279">
            <w:pPr>
              <w:suppressAutoHyphens/>
              <w:ind w:firstLine="720"/>
              <w:jc w:val="both"/>
              <w:rPr>
                <w:noProof/>
              </w:rPr>
            </w:pPr>
            <w:r>
              <w:rPr>
                <w:bCs/>
                <w:szCs w:val="24"/>
              </w:rPr>
              <w:lastRenderedPageBreak/>
              <w:t xml:space="preserve">27.1.1. Nuo papasakotos istorijos iki knygos. </w:t>
            </w:r>
          </w:p>
        </w:tc>
        <w:tc>
          <w:tcPr>
            <w:tcW w:w="1842" w:type="dxa"/>
          </w:tcPr>
          <w:p w14:paraId="6B87A3F8" w14:textId="7B66EB85" w:rsidR="00892F8B" w:rsidRPr="00190CDA" w:rsidRDefault="00603279" w:rsidP="00892F8B">
            <w:pPr>
              <w:jc w:val="center"/>
            </w:pPr>
            <w:r>
              <w:lastRenderedPageBreak/>
              <w:t>5</w:t>
            </w:r>
          </w:p>
        </w:tc>
        <w:tc>
          <w:tcPr>
            <w:tcW w:w="1842" w:type="dxa"/>
          </w:tcPr>
          <w:p w14:paraId="4DAA5E26" w14:textId="77777777" w:rsidR="00892F8B" w:rsidRPr="00986DF1" w:rsidRDefault="00892F8B" w:rsidP="00892F8B">
            <w:pPr>
              <w:jc w:val="center"/>
              <w:rPr>
                <w:highlight w:val="yellow"/>
              </w:rPr>
            </w:pPr>
          </w:p>
        </w:tc>
      </w:tr>
      <w:tr w:rsidR="00892F8B" w14:paraId="7F390AB5" w14:textId="77777777" w:rsidTr="00190CDA">
        <w:tc>
          <w:tcPr>
            <w:tcW w:w="846" w:type="dxa"/>
          </w:tcPr>
          <w:p w14:paraId="16998E03" w14:textId="42681107" w:rsidR="00892F8B" w:rsidRDefault="00892F8B" w:rsidP="00892F8B">
            <w:pPr>
              <w:jc w:val="both"/>
            </w:pPr>
            <w:r>
              <w:t>3.</w:t>
            </w:r>
          </w:p>
        </w:tc>
        <w:tc>
          <w:tcPr>
            <w:tcW w:w="4678" w:type="dxa"/>
          </w:tcPr>
          <w:p w14:paraId="2849145C" w14:textId="77777777" w:rsidR="00892F8B" w:rsidRDefault="00892F8B" w:rsidP="00603279">
            <w:pPr>
              <w:suppressAutoHyphens/>
              <w:jc w:val="both"/>
              <w:rPr>
                <w:bCs/>
                <w:szCs w:val="24"/>
              </w:rPr>
            </w:pPr>
            <w:r>
              <w:rPr>
                <w:bCs/>
                <w:szCs w:val="24"/>
              </w:rPr>
              <w:t>27.2. </w:t>
            </w:r>
            <w:r>
              <w:rPr>
                <w:szCs w:val="24"/>
              </w:rPr>
              <w:t>Tikėjimo turinio pažinimas</w:t>
            </w:r>
            <w:r>
              <w:rPr>
                <w:bCs/>
                <w:szCs w:val="24"/>
              </w:rPr>
              <w:t>.</w:t>
            </w:r>
          </w:p>
          <w:p w14:paraId="169ED1FC" w14:textId="3E89A85E" w:rsidR="00892F8B" w:rsidRDefault="00892F8B" w:rsidP="00892F8B">
            <w:pPr>
              <w:suppressAutoHyphens/>
              <w:ind w:firstLine="720"/>
              <w:jc w:val="both"/>
              <w:rPr>
                <w:szCs w:val="24"/>
              </w:rPr>
            </w:pPr>
            <w:r>
              <w:rPr>
                <w:bCs/>
                <w:szCs w:val="24"/>
              </w:rPr>
              <w:t xml:space="preserve">27.2.1. Jėzus – žmogus ir Dievas. </w:t>
            </w:r>
          </w:p>
          <w:p w14:paraId="63FF0529" w14:textId="1110EFBB" w:rsidR="00892F8B" w:rsidRPr="0022266C" w:rsidRDefault="00892F8B" w:rsidP="00603279">
            <w:pPr>
              <w:suppressAutoHyphens/>
              <w:ind w:firstLine="720"/>
              <w:jc w:val="both"/>
            </w:pPr>
            <w:r>
              <w:rPr>
                <w:bCs/>
                <w:szCs w:val="24"/>
              </w:rPr>
              <w:t xml:space="preserve">27.2.2. Tikėjimo grožis. </w:t>
            </w:r>
          </w:p>
        </w:tc>
        <w:tc>
          <w:tcPr>
            <w:tcW w:w="1842" w:type="dxa"/>
          </w:tcPr>
          <w:p w14:paraId="4975DDF8" w14:textId="1971F0CF" w:rsidR="00892F8B" w:rsidRPr="00190CDA" w:rsidRDefault="00603279" w:rsidP="00892F8B">
            <w:pPr>
              <w:jc w:val="center"/>
            </w:pPr>
            <w:r>
              <w:t>5</w:t>
            </w:r>
          </w:p>
        </w:tc>
        <w:tc>
          <w:tcPr>
            <w:tcW w:w="1842" w:type="dxa"/>
          </w:tcPr>
          <w:p w14:paraId="49D15866" w14:textId="77777777" w:rsidR="00892F8B" w:rsidRPr="00986DF1" w:rsidRDefault="00892F8B" w:rsidP="00892F8B">
            <w:pPr>
              <w:jc w:val="center"/>
              <w:rPr>
                <w:highlight w:val="yellow"/>
              </w:rPr>
            </w:pPr>
          </w:p>
        </w:tc>
      </w:tr>
      <w:tr w:rsidR="00892F8B" w14:paraId="26F945FC" w14:textId="77777777" w:rsidTr="00190CDA">
        <w:tc>
          <w:tcPr>
            <w:tcW w:w="846" w:type="dxa"/>
          </w:tcPr>
          <w:p w14:paraId="4A5CB0CC" w14:textId="03841E54" w:rsidR="00892F8B" w:rsidRDefault="00892F8B" w:rsidP="00892F8B">
            <w:pPr>
              <w:jc w:val="both"/>
            </w:pPr>
            <w:r>
              <w:t>4.</w:t>
            </w:r>
          </w:p>
        </w:tc>
        <w:tc>
          <w:tcPr>
            <w:tcW w:w="4678" w:type="dxa"/>
          </w:tcPr>
          <w:p w14:paraId="6165089A" w14:textId="77777777" w:rsidR="00892F8B" w:rsidRDefault="00892F8B" w:rsidP="00603279">
            <w:pPr>
              <w:suppressAutoHyphens/>
              <w:jc w:val="both"/>
              <w:rPr>
                <w:bCs/>
                <w:szCs w:val="24"/>
              </w:rPr>
            </w:pPr>
            <w:r>
              <w:rPr>
                <w:bCs/>
                <w:szCs w:val="24"/>
              </w:rPr>
              <w:t>27.3. </w:t>
            </w:r>
            <w:r>
              <w:rPr>
                <w:szCs w:val="24"/>
              </w:rPr>
              <w:t>Bažnyčia ir liturgija</w:t>
            </w:r>
            <w:r>
              <w:rPr>
                <w:bCs/>
                <w:szCs w:val="24"/>
              </w:rPr>
              <w:t>.</w:t>
            </w:r>
          </w:p>
          <w:p w14:paraId="7C07E212" w14:textId="7FAE3DB0" w:rsidR="00892F8B" w:rsidRDefault="00892F8B" w:rsidP="00892F8B">
            <w:pPr>
              <w:suppressAutoHyphens/>
              <w:ind w:firstLine="720"/>
              <w:jc w:val="both"/>
              <w:rPr>
                <w:szCs w:val="24"/>
              </w:rPr>
            </w:pPr>
            <w:r>
              <w:rPr>
                <w:bCs/>
                <w:szCs w:val="24"/>
              </w:rPr>
              <w:t xml:space="preserve">27.3.1. Bažnyčia – švenčianti bendruomenė. </w:t>
            </w:r>
          </w:p>
          <w:p w14:paraId="0DAEBE05" w14:textId="50C54F3F" w:rsidR="00892F8B" w:rsidRDefault="00892F8B" w:rsidP="00603279">
            <w:pPr>
              <w:suppressAutoHyphens/>
              <w:ind w:firstLine="720"/>
              <w:jc w:val="both"/>
            </w:pPr>
            <w:r>
              <w:rPr>
                <w:bCs/>
                <w:szCs w:val="24"/>
              </w:rPr>
              <w:t xml:space="preserve">27.3.2. Liturginės laikysenos ir simboliai šventosiose Mišiose. </w:t>
            </w:r>
          </w:p>
        </w:tc>
        <w:tc>
          <w:tcPr>
            <w:tcW w:w="1842" w:type="dxa"/>
          </w:tcPr>
          <w:p w14:paraId="03BC82BD" w14:textId="5D80EA2D" w:rsidR="00892F8B" w:rsidRPr="00190CDA" w:rsidRDefault="00603279" w:rsidP="00892F8B">
            <w:pPr>
              <w:jc w:val="center"/>
            </w:pPr>
            <w:r>
              <w:t>5</w:t>
            </w:r>
          </w:p>
        </w:tc>
        <w:tc>
          <w:tcPr>
            <w:tcW w:w="1842" w:type="dxa"/>
          </w:tcPr>
          <w:p w14:paraId="71F0339F" w14:textId="77777777" w:rsidR="00892F8B" w:rsidRPr="00986DF1" w:rsidRDefault="00892F8B" w:rsidP="00892F8B">
            <w:pPr>
              <w:jc w:val="center"/>
              <w:rPr>
                <w:highlight w:val="yellow"/>
              </w:rPr>
            </w:pPr>
          </w:p>
        </w:tc>
      </w:tr>
      <w:tr w:rsidR="00892F8B" w14:paraId="6BE67A80" w14:textId="77777777" w:rsidTr="00190CDA">
        <w:tc>
          <w:tcPr>
            <w:tcW w:w="846" w:type="dxa"/>
          </w:tcPr>
          <w:p w14:paraId="43FEABB0" w14:textId="1AF48318" w:rsidR="00892F8B" w:rsidRDefault="00892F8B" w:rsidP="00892F8B">
            <w:pPr>
              <w:jc w:val="both"/>
            </w:pPr>
            <w:r>
              <w:t>5.</w:t>
            </w:r>
          </w:p>
        </w:tc>
        <w:tc>
          <w:tcPr>
            <w:tcW w:w="4678" w:type="dxa"/>
          </w:tcPr>
          <w:p w14:paraId="4A4400F1" w14:textId="77777777" w:rsidR="00892F8B" w:rsidRDefault="00892F8B" w:rsidP="00603279">
            <w:pPr>
              <w:suppressAutoHyphens/>
              <w:jc w:val="both"/>
              <w:rPr>
                <w:bCs/>
                <w:szCs w:val="24"/>
              </w:rPr>
            </w:pPr>
            <w:r>
              <w:rPr>
                <w:szCs w:val="24"/>
                <w:lang w:eastAsia="ar-SA"/>
              </w:rPr>
              <w:t xml:space="preserve"> </w:t>
            </w:r>
            <w:r>
              <w:rPr>
                <w:bCs/>
                <w:szCs w:val="24"/>
              </w:rPr>
              <w:t>27.4. Asmens tobulėjimas ir dvasinis gyvenimas.</w:t>
            </w:r>
          </w:p>
          <w:p w14:paraId="2DE50B19" w14:textId="560A3541" w:rsidR="00892F8B" w:rsidRDefault="00892F8B" w:rsidP="00892F8B">
            <w:pPr>
              <w:suppressAutoHyphens/>
              <w:ind w:firstLine="720"/>
              <w:jc w:val="both"/>
              <w:rPr>
                <w:szCs w:val="24"/>
              </w:rPr>
            </w:pPr>
            <w:r>
              <w:rPr>
                <w:bCs/>
                <w:szCs w:val="24"/>
              </w:rPr>
              <w:t xml:space="preserve">27.4.1. Maldos formos, būdai ir laikysenos. </w:t>
            </w:r>
          </w:p>
          <w:p w14:paraId="0B41B43D" w14:textId="4AFE6428" w:rsidR="00892F8B" w:rsidRPr="00982CCE" w:rsidRDefault="00892F8B" w:rsidP="00603279">
            <w:pPr>
              <w:suppressAutoHyphens/>
              <w:ind w:firstLine="720"/>
              <w:jc w:val="both"/>
              <w:rPr>
                <w:b/>
                <w:color w:val="000000"/>
              </w:rPr>
            </w:pPr>
            <w:r>
              <w:rPr>
                <w:bCs/>
                <w:szCs w:val="24"/>
              </w:rPr>
              <w:t xml:space="preserve">27.4.2. Švč. Mergelė Marija – ypatingas asmuo. </w:t>
            </w:r>
          </w:p>
        </w:tc>
        <w:tc>
          <w:tcPr>
            <w:tcW w:w="1842" w:type="dxa"/>
          </w:tcPr>
          <w:p w14:paraId="72AC393C" w14:textId="77777777" w:rsidR="00892F8B" w:rsidRPr="00190CDA" w:rsidRDefault="00892F8B" w:rsidP="00892F8B">
            <w:pPr>
              <w:jc w:val="center"/>
            </w:pPr>
            <w:r w:rsidRPr="00190CDA">
              <w:t>5</w:t>
            </w:r>
          </w:p>
        </w:tc>
        <w:tc>
          <w:tcPr>
            <w:tcW w:w="1842" w:type="dxa"/>
          </w:tcPr>
          <w:p w14:paraId="541CB206" w14:textId="77777777" w:rsidR="00892F8B" w:rsidRPr="00986DF1" w:rsidRDefault="00892F8B" w:rsidP="00892F8B">
            <w:pPr>
              <w:jc w:val="center"/>
              <w:rPr>
                <w:highlight w:val="yellow"/>
              </w:rPr>
            </w:pPr>
          </w:p>
        </w:tc>
      </w:tr>
      <w:tr w:rsidR="00892F8B" w14:paraId="30538BB6" w14:textId="77777777" w:rsidTr="00190CDA">
        <w:tc>
          <w:tcPr>
            <w:tcW w:w="846" w:type="dxa"/>
          </w:tcPr>
          <w:p w14:paraId="03F6770A" w14:textId="17BE95E2" w:rsidR="00892F8B" w:rsidRDefault="00892F8B" w:rsidP="00892F8B">
            <w:pPr>
              <w:jc w:val="both"/>
            </w:pPr>
            <w:r>
              <w:t>6.</w:t>
            </w:r>
          </w:p>
        </w:tc>
        <w:tc>
          <w:tcPr>
            <w:tcW w:w="4678" w:type="dxa"/>
          </w:tcPr>
          <w:p w14:paraId="6B0928F9" w14:textId="77777777" w:rsidR="00892F8B" w:rsidRDefault="00892F8B" w:rsidP="00892F8B">
            <w:pPr>
              <w:suppressAutoHyphens/>
              <w:ind w:firstLine="720"/>
              <w:jc w:val="both"/>
              <w:rPr>
                <w:bCs/>
                <w:szCs w:val="24"/>
              </w:rPr>
            </w:pPr>
            <w:r>
              <w:rPr>
                <w:bCs/>
                <w:szCs w:val="24"/>
              </w:rPr>
              <w:t>27.5. Asmuo ir moralė.</w:t>
            </w:r>
          </w:p>
          <w:p w14:paraId="5975D9A2" w14:textId="71CDF870" w:rsidR="00892F8B" w:rsidRDefault="00892F8B" w:rsidP="00892F8B">
            <w:pPr>
              <w:suppressAutoHyphens/>
              <w:ind w:firstLine="720"/>
              <w:jc w:val="both"/>
              <w:rPr>
                <w:szCs w:val="24"/>
              </w:rPr>
            </w:pPr>
            <w:r>
              <w:rPr>
                <w:bCs/>
                <w:szCs w:val="24"/>
              </w:rPr>
              <w:t xml:space="preserve">27.5.1. Dievas leidžia pažinti pasaulį. </w:t>
            </w:r>
          </w:p>
          <w:p w14:paraId="35FEC8BE" w14:textId="2B49864E" w:rsidR="00892F8B" w:rsidRPr="0022266C" w:rsidRDefault="00892F8B" w:rsidP="00603279">
            <w:pPr>
              <w:suppressAutoHyphens/>
              <w:ind w:firstLine="720"/>
              <w:jc w:val="both"/>
              <w:rPr>
                <w:bCs/>
              </w:rPr>
            </w:pPr>
            <w:r>
              <w:rPr>
                <w:bCs/>
                <w:szCs w:val="24"/>
              </w:rPr>
              <w:t xml:space="preserve">27.5.2. Kaip gyvena Dievo vaikai? </w:t>
            </w:r>
          </w:p>
        </w:tc>
        <w:tc>
          <w:tcPr>
            <w:tcW w:w="1842" w:type="dxa"/>
          </w:tcPr>
          <w:p w14:paraId="0A67E776" w14:textId="77777777" w:rsidR="00892F8B" w:rsidRPr="00190CDA" w:rsidRDefault="00892F8B" w:rsidP="00892F8B">
            <w:pPr>
              <w:jc w:val="center"/>
            </w:pPr>
            <w:r w:rsidRPr="00190CDA">
              <w:t>5</w:t>
            </w:r>
          </w:p>
        </w:tc>
        <w:tc>
          <w:tcPr>
            <w:tcW w:w="1842" w:type="dxa"/>
          </w:tcPr>
          <w:p w14:paraId="4F274374" w14:textId="77777777" w:rsidR="00892F8B" w:rsidRPr="00986DF1" w:rsidRDefault="00892F8B" w:rsidP="00892F8B">
            <w:pPr>
              <w:jc w:val="center"/>
              <w:rPr>
                <w:highlight w:val="yellow"/>
              </w:rPr>
            </w:pPr>
          </w:p>
        </w:tc>
      </w:tr>
      <w:tr w:rsidR="00892F8B" w14:paraId="2D860174" w14:textId="77777777" w:rsidTr="00190CDA">
        <w:tc>
          <w:tcPr>
            <w:tcW w:w="846" w:type="dxa"/>
          </w:tcPr>
          <w:p w14:paraId="1023A567" w14:textId="50E99189" w:rsidR="00892F8B" w:rsidRDefault="00892F8B" w:rsidP="00892F8B">
            <w:pPr>
              <w:jc w:val="center"/>
            </w:pPr>
            <w:r>
              <w:t>7.</w:t>
            </w:r>
          </w:p>
        </w:tc>
        <w:tc>
          <w:tcPr>
            <w:tcW w:w="4678" w:type="dxa"/>
          </w:tcPr>
          <w:p w14:paraId="428D238E" w14:textId="13A10B40" w:rsidR="00892F8B" w:rsidRDefault="00892F8B" w:rsidP="00892F8B">
            <w:pPr>
              <w:pStyle w:val="ListParagraph"/>
              <w:ind w:left="0" w:firstLine="0"/>
            </w:pPr>
            <w:r>
              <w:t>Ko išmokau per šiuos metus? Refleksija ir įsivertinimas</w:t>
            </w:r>
          </w:p>
        </w:tc>
        <w:tc>
          <w:tcPr>
            <w:tcW w:w="1842" w:type="dxa"/>
          </w:tcPr>
          <w:p w14:paraId="3B99CED6" w14:textId="77777777" w:rsidR="00892F8B" w:rsidRPr="00190CDA" w:rsidRDefault="00892F8B" w:rsidP="00892F8B">
            <w:pPr>
              <w:jc w:val="center"/>
            </w:pPr>
            <w:r w:rsidRPr="00190CDA">
              <w:t>1</w:t>
            </w:r>
          </w:p>
        </w:tc>
        <w:tc>
          <w:tcPr>
            <w:tcW w:w="1842" w:type="dxa"/>
          </w:tcPr>
          <w:p w14:paraId="16A0AFD3" w14:textId="77777777" w:rsidR="00892F8B" w:rsidRPr="00986DF1" w:rsidRDefault="00892F8B" w:rsidP="00892F8B">
            <w:pPr>
              <w:jc w:val="center"/>
              <w:rPr>
                <w:highlight w:val="yellow"/>
              </w:rPr>
            </w:pPr>
          </w:p>
        </w:tc>
      </w:tr>
    </w:tbl>
    <w:p w14:paraId="08F283C7" w14:textId="77777777" w:rsidR="00190CDA" w:rsidRDefault="00190CDA"/>
    <w:sectPr w:rsidR="00190CD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DA"/>
    <w:rsid w:val="000D0839"/>
    <w:rsid w:val="001343FA"/>
    <w:rsid w:val="00190CDA"/>
    <w:rsid w:val="002146DC"/>
    <w:rsid w:val="00546379"/>
    <w:rsid w:val="00603279"/>
    <w:rsid w:val="00892F8B"/>
    <w:rsid w:val="008F5765"/>
    <w:rsid w:val="00B479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0A22"/>
  <w15:chartTrackingRefBased/>
  <w15:docId w15:val="{D2D323BC-62EC-4140-BEFD-E25B741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DA"/>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CDA"/>
    <w:rPr>
      <w:color w:val="0563C1" w:themeColor="hyperlink"/>
      <w:u w:val="single"/>
    </w:rPr>
  </w:style>
  <w:style w:type="paragraph" w:customStyle="1" w:styleId="paragraph">
    <w:name w:val="paragraph"/>
    <w:basedOn w:val="Normal"/>
    <w:rsid w:val="00190CDA"/>
    <w:pPr>
      <w:spacing w:before="100" w:beforeAutospacing="1" w:after="100" w:afterAutospacing="1"/>
    </w:pPr>
    <w:rPr>
      <w:szCs w:val="24"/>
    </w:rPr>
  </w:style>
  <w:style w:type="character" w:customStyle="1" w:styleId="normaltextrun">
    <w:name w:val="normaltextrun"/>
    <w:basedOn w:val="DefaultParagraphFont"/>
    <w:rsid w:val="00190CDA"/>
  </w:style>
  <w:style w:type="character" w:customStyle="1" w:styleId="eop">
    <w:name w:val="eop"/>
    <w:basedOn w:val="DefaultParagraphFont"/>
    <w:rsid w:val="00190CDA"/>
  </w:style>
  <w:style w:type="paragraph" w:styleId="ListParagraph">
    <w:name w:val="List Paragraph"/>
    <w:basedOn w:val="Normal"/>
    <w:uiPriority w:val="34"/>
    <w:qFormat/>
    <w:rsid w:val="00190CDA"/>
    <w:pPr>
      <w:ind w:left="720" w:firstLine="720"/>
      <w:contextualSpacing/>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50ada7b1-6768-4124-a56c-8bd9bba95d1b%7d&amp;action=view&amp;wd=target%286.%20Veikl%C5%B3%20planavimo%20pavyzd%C5%BEiai.one%7C9a3f23dc-563a-4923-bf5a-09d1eff2fea6%2F1%E2%80%932%20klas%C4%97s%7C141f3bd8-c8e7-41c5-ba92-79bd7dfdaace%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19"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C3D9C-9AD0-4511-87DA-797BEB72F5C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3DCEF14-699B-4AA2-B28B-DF742BEAB8D0}">
  <ds:schemaRefs>
    <ds:schemaRef ds:uri="http://schemas.microsoft.com/sharepoint/v3/contenttype/forms"/>
  </ds:schemaRefs>
</ds:datastoreItem>
</file>

<file path=customXml/itemProps3.xml><?xml version="1.0" encoding="utf-8"?>
<ds:datastoreItem xmlns:ds="http://schemas.openxmlformats.org/officeDocument/2006/customXml" ds:itemID="{07820EBC-225B-44B3-98F0-9EC2364AA1B2}"/>
</file>

<file path=docProps/app.xml><?xml version="1.0" encoding="utf-8"?>
<Properties xmlns="http://schemas.openxmlformats.org/officeDocument/2006/extended-properties" xmlns:vt="http://schemas.openxmlformats.org/officeDocument/2006/docPropsVTypes">
  <Template>Normal</Template>
  <TotalTime>22</TotalTime>
  <Pages>2</Pages>
  <Words>2632</Words>
  <Characters>1501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2023-06-05T08:04:00Z</dcterms:created>
  <dcterms:modified xsi:type="dcterms:W3CDTF">2023-06-05T08:27:00Z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