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D42" w:rsidRPr="0077536F" w:rsidRDefault="000B2D42" w:rsidP="000B2D42">
      <w:pPr>
        <w:jc w:val="center"/>
        <w:rPr>
          <w:b/>
        </w:rPr>
      </w:pPr>
      <w:r>
        <w:rPr>
          <w:b/>
        </w:rPr>
        <w:t>Nacionalinio saugumo ir krašto gynybos</w:t>
      </w:r>
      <w:r w:rsidRPr="0077536F">
        <w:rPr>
          <w:b/>
        </w:rPr>
        <w:t xml:space="preserve"> Ilgalaikis planas </w:t>
      </w:r>
      <w:r>
        <w:rPr>
          <w:b/>
        </w:rPr>
        <w:t>I</w:t>
      </w:r>
      <w:r w:rsidR="00310003">
        <w:rPr>
          <w:b/>
        </w:rPr>
        <w:t xml:space="preserve">V </w:t>
      </w:r>
      <w:r w:rsidRPr="009276F8">
        <w:rPr>
          <w:b/>
          <w:bCs/>
          <w:color w:val="000000"/>
        </w:rPr>
        <w:t>gimnazijos</w:t>
      </w:r>
      <w:r w:rsidRPr="0077536F">
        <w:rPr>
          <w:b/>
        </w:rPr>
        <w:t xml:space="preserve"> klasei</w:t>
      </w:r>
    </w:p>
    <w:p w:rsidR="000B2D42" w:rsidRPr="0077536F" w:rsidRDefault="000B2D42" w:rsidP="000B2D42">
      <w:pPr>
        <w:jc w:val="both"/>
        <w:rPr>
          <w:u w:val="single"/>
        </w:rPr>
      </w:pPr>
    </w:p>
    <w:p w:rsidR="000B2D42" w:rsidRPr="0077536F" w:rsidRDefault="000B2D42" w:rsidP="000B2D42">
      <w:pPr>
        <w:contextualSpacing/>
        <w:jc w:val="both"/>
        <w:textAlignment w:val="baseline"/>
      </w:pPr>
      <w:r w:rsidRPr="0077536F">
        <w:t xml:space="preserve">Ilgalaikio plano pavyzdyje pateikiamas preliminarus Bendruosiuose ugdymo planuose dalykui numatyto valandų skaičiaus paskirstymas:  stulpelyje </w:t>
      </w:r>
      <w:r w:rsidRPr="0077536F">
        <w:rPr>
          <w:i/>
        </w:rPr>
        <w:t>Mokymo(</w:t>
      </w:r>
      <w:proofErr w:type="spellStart"/>
      <w:r w:rsidRPr="0077536F">
        <w:rPr>
          <w:i/>
        </w:rPr>
        <w:t>si</w:t>
      </w:r>
      <w:proofErr w:type="spellEnd"/>
      <w:r w:rsidRPr="0077536F">
        <w:rPr>
          <w:i/>
        </w:rPr>
        <w:t xml:space="preserve">) turinio tema </w:t>
      </w:r>
      <w:r w:rsidRPr="0077536F">
        <w:t xml:space="preserve">yra pateikiamos </w:t>
      </w:r>
      <w:r w:rsidRPr="000B2D42">
        <w:t>Nacionalinio saugumo ir krašto gynybos</w:t>
      </w:r>
      <w:r w:rsidRPr="0077536F">
        <w:t xml:space="preserve"> bendrosios programos (toliau – BP) temos;</w:t>
      </w:r>
    </w:p>
    <w:p w:rsidR="000B2D42" w:rsidRPr="0077536F" w:rsidRDefault="000B2D42" w:rsidP="000B2D42">
      <w:pPr>
        <w:numPr>
          <w:ilvl w:val="0"/>
          <w:numId w:val="1"/>
        </w:numPr>
        <w:contextualSpacing/>
        <w:jc w:val="both"/>
        <w:textAlignment w:val="baseline"/>
      </w:pPr>
      <w:r w:rsidRPr="0077536F">
        <w:t xml:space="preserve">stulpelyje </w:t>
      </w:r>
      <w:r w:rsidR="003E0B08">
        <w:rPr>
          <w:i/>
        </w:rPr>
        <w:t>Mokymosi turinio sritis</w:t>
      </w:r>
      <w:r w:rsidRPr="0077536F">
        <w:t xml:space="preserve"> pateiktos galimos pamokų temos, kurias mokytojas gali keisti savo nuožiūra; </w:t>
      </w:r>
    </w:p>
    <w:p w:rsidR="000B2D42" w:rsidRPr="0077536F" w:rsidRDefault="000B2D42" w:rsidP="000B2D42">
      <w:pPr>
        <w:spacing w:after="120"/>
        <w:ind w:left="360"/>
        <w:jc w:val="both"/>
        <w:textAlignment w:val="baseline"/>
      </w:pPr>
      <w:r w:rsidRPr="0077536F">
        <w:t>Skaičius prie temos 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rsidR="000B2D42" w:rsidRDefault="000B2D42" w:rsidP="000B2D42">
      <w:pPr>
        <w:pStyle w:val="ListParagraph"/>
        <w:numPr>
          <w:ilvl w:val="0"/>
          <w:numId w:val="1"/>
        </w:numPr>
        <w:spacing w:after="120" w:line="240" w:lineRule="auto"/>
        <w:jc w:val="both"/>
        <w:textAlignment w:val="baseline"/>
        <w:rPr>
          <w:rFonts w:ascii="Times New Roman" w:eastAsia="Times New Roman" w:hAnsi="Times New Roman" w:cs="Times New Roman"/>
          <w:sz w:val="24"/>
          <w:szCs w:val="24"/>
          <w:lang w:eastAsia="lt-LT"/>
        </w:rPr>
      </w:pPr>
      <w:r w:rsidRPr="56CB2DA1">
        <w:rPr>
          <w:rFonts w:ascii="Times New Roman" w:eastAsia="Times New Roman" w:hAnsi="Times New Roman" w:cs="Times New Roman"/>
          <w:sz w:val="24"/>
          <w:szCs w:val="24"/>
          <w:lang w:eastAsia="lt-LT"/>
        </w:rPr>
        <w:t xml:space="preserve">stulpelyje </w:t>
      </w:r>
      <w:r w:rsidRPr="56CB2DA1">
        <w:rPr>
          <w:rFonts w:ascii="Times New Roman" w:eastAsia="Times New Roman" w:hAnsi="Times New Roman" w:cs="Times New Roman"/>
          <w:i/>
          <w:iCs/>
          <w:sz w:val="24"/>
          <w:szCs w:val="24"/>
          <w:lang w:eastAsia="lt-LT"/>
        </w:rPr>
        <w:t xml:space="preserve">Val. sk. </w:t>
      </w:r>
      <w:r w:rsidRPr="56CB2DA1">
        <w:rPr>
          <w:rFonts w:ascii="Times New Roman" w:eastAsia="Times New Roman" w:hAnsi="Times New Roman" w:cs="Times New Roman"/>
          <w:sz w:val="24"/>
          <w:szCs w:val="24"/>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rsidR="000B2D42" w:rsidRPr="003B6657" w:rsidRDefault="000B2D42" w:rsidP="000B2D42">
      <w:pPr>
        <w:pStyle w:val="ListParagraph"/>
        <w:numPr>
          <w:ilvl w:val="0"/>
          <w:numId w:val="1"/>
        </w:numPr>
        <w:spacing w:after="120" w:line="240" w:lineRule="auto"/>
        <w:jc w:val="both"/>
        <w:textAlignment w:val="baseline"/>
        <w:rPr>
          <w:rFonts w:ascii="Times New Roman" w:eastAsia="Times New Roman" w:hAnsi="Times New Roman" w:cs="Times New Roman"/>
          <w:sz w:val="24"/>
          <w:szCs w:val="24"/>
          <w:lang w:eastAsia="lt-LT"/>
        </w:rPr>
      </w:pPr>
      <w:r w:rsidRPr="56CB2DA1">
        <w:rPr>
          <w:rFonts w:ascii="Times New Roman" w:eastAsia="Times New Roman" w:hAnsi="Times New Roman" w:cs="Times New Roman"/>
          <w:sz w:val="24"/>
          <w:szCs w:val="24"/>
          <w:lang w:eastAsia="lt-LT"/>
        </w:rPr>
        <w:t xml:space="preserve">stulpelyje </w:t>
      </w:r>
      <w:r>
        <w:rPr>
          <w:rFonts w:ascii="Times New Roman" w:eastAsia="Times New Roman" w:hAnsi="Times New Roman" w:cs="Times New Roman"/>
          <w:i/>
          <w:iCs/>
          <w:sz w:val="24"/>
          <w:szCs w:val="24"/>
          <w:lang w:eastAsia="lt-LT"/>
        </w:rPr>
        <w:t>Galimos mokinių veiklos</w:t>
      </w:r>
      <w:r w:rsidRPr="56CB2DA1">
        <w:rPr>
          <w:rFonts w:ascii="Times New Roman" w:eastAsia="Times New Roman" w:hAnsi="Times New Roman" w:cs="Times New Roman"/>
          <w:i/>
          <w:iCs/>
          <w:sz w:val="24"/>
          <w:szCs w:val="24"/>
          <w:lang w:eastAsia="lt-LT"/>
        </w:rPr>
        <w:t xml:space="preserve"> </w:t>
      </w:r>
      <w:r w:rsidRPr="56CB2DA1">
        <w:rPr>
          <w:rFonts w:ascii="Times New Roman" w:eastAsia="Times New Roman" w:hAnsi="Times New Roman" w:cs="Times New Roman"/>
          <w:sz w:val="24"/>
          <w:szCs w:val="24"/>
          <w:lang w:eastAsia="lt-LT"/>
        </w:rPr>
        <w:t xml:space="preserve">pateikiamas veiklų sąrašas yra susietas su </w:t>
      </w:r>
      <w:r w:rsidRPr="000B2D42">
        <w:rPr>
          <w:rFonts w:ascii="Times New Roman" w:eastAsia="Times New Roman" w:hAnsi="Times New Roman" w:cs="Times New Roman"/>
          <w:i/>
          <w:iCs/>
          <w:color w:val="0563C1" w:themeColor="hyperlink"/>
          <w:sz w:val="24"/>
          <w:szCs w:val="24"/>
          <w:u w:val="single"/>
          <w:lang w:eastAsia="lt-LT"/>
        </w:rPr>
        <w:t>Nacionalinio saugumo ir krašto gynybos</w:t>
      </w:r>
      <w:r w:rsidRPr="003B6657">
        <w:rPr>
          <w:rFonts w:ascii="Times New Roman" w:eastAsia="Times New Roman" w:hAnsi="Times New Roman" w:cs="Times New Roman"/>
          <w:i/>
          <w:iCs/>
          <w:color w:val="0563C1" w:themeColor="hyperlink"/>
          <w:sz w:val="24"/>
          <w:szCs w:val="24"/>
          <w:u w:val="single"/>
          <w:lang w:eastAsia="lt-LT"/>
        </w:rPr>
        <w:t xml:space="preserve"> BP įgyvendinimo rekomendacijomis</w:t>
      </w:r>
      <w:r w:rsidRPr="56CB2DA1">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sz w:val="24"/>
          <w:szCs w:val="24"/>
          <w:lang w:eastAsia="lt-LT"/>
        </w:rPr>
        <w:t>kuriose</w:t>
      </w:r>
      <w:r w:rsidRPr="56CB2DA1">
        <w:rPr>
          <w:rFonts w:ascii="Times New Roman" w:eastAsia="Times New Roman" w:hAnsi="Times New Roman" w:cs="Times New Roman"/>
          <w:sz w:val="24"/>
          <w:szCs w:val="24"/>
          <w:lang w:eastAsia="lt-LT"/>
        </w:rPr>
        <w:t xml:space="preserve"> galima rasti išsamesnės informacijos apie ugdymo proceso organizavimą įgyvendinant atnaujintą BP.</w:t>
      </w:r>
    </w:p>
    <w:p w:rsidR="000B2D42" w:rsidRDefault="000B2D42" w:rsidP="000B2D42">
      <w:pPr>
        <w:spacing w:after="120"/>
        <w:jc w:val="both"/>
        <w:textAlignment w:val="baseline"/>
        <w:rPr>
          <w:i/>
          <w:iCs/>
        </w:rPr>
      </w:pPr>
      <w:r w:rsidRPr="0077536F">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77536F">
        <w:t>tarpdalykinėmis</w:t>
      </w:r>
      <w:proofErr w:type="spellEnd"/>
      <w:r w:rsidRPr="0077536F">
        <w:t xml:space="preserve"> temomis. Pamokų ir veiklų planavimo pavyzdžių galima rasti BP įgyvendinimo rekomendacijų dalyje </w:t>
      </w:r>
      <w:r w:rsidRPr="0077536F">
        <w:rPr>
          <w:i/>
          <w:iCs/>
          <w:color w:val="0563C1" w:themeColor="hyperlink"/>
          <w:u w:val="single"/>
        </w:rPr>
        <w:t>Veiklų planavimo ir kompetencijų ugdymo pavyzdžiai</w:t>
      </w:r>
      <w:r w:rsidRPr="0077536F">
        <w:rPr>
          <w:i/>
          <w:iCs/>
        </w:rPr>
        <w:t xml:space="preserve">. </w:t>
      </w:r>
    </w:p>
    <w:p w:rsidR="000B2D42" w:rsidRPr="003B6657" w:rsidRDefault="000B2D42" w:rsidP="000B2D42">
      <w:pPr>
        <w:spacing w:after="120"/>
        <w:jc w:val="both"/>
        <w:textAlignment w:val="baseline"/>
        <w:rPr>
          <w:i/>
          <w:iCs/>
        </w:rPr>
      </w:pPr>
    </w:p>
    <w:p w:rsidR="000B2D42" w:rsidRDefault="000B2D42">
      <w:pPr>
        <w:rPr>
          <w:bCs/>
          <w:lang w:val="fi-FI"/>
        </w:rPr>
      </w:pPr>
      <w:r w:rsidRPr="001078D5">
        <w:rPr>
          <w:bCs/>
          <w:lang w:val="fi-FI"/>
        </w:rPr>
        <w:t xml:space="preserve">Ugdymo plane </w:t>
      </w:r>
      <w:r>
        <w:t>I</w:t>
      </w:r>
      <w:r w:rsidR="00310003">
        <w:t>V</w:t>
      </w:r>
      <w:r w:rsidRPr="001078D5">
        <w:t xml:space="preserve"> gimnazijos klas</w:t>
      </w:r>
      <w:r>
        <w:t xml:space="preserve">ėje </w:t>
      </w:r>
      <w:r w:rsidRPr="000B2D42">
        <w:t>Nacionalinio saugumo ir krašto gynybos dalykui</w:t>
      </w:r>
      <w:r>
        <w:rPr>
          <w:bCs/>
          <w:lang w:val="fi-FI"/>
        </w:rPr>
        <w:t xml:space="preserve"> </w:t>
      </w:r>
      <w:r w:rsidRPr="001078D5">
        <w:rPr>
          <w:bCs/>
          <w:lang w:val="fi-FI"/>
        </w:rPr>
        <w:t>skirt</w:t>
      </w:r>
      <w:r>
        <w:rPr>
          <w:bCs/>
          <w:lang w:val="fi-FI"/>
        </w:rPr>
        <w:t>a</w:t>
      </w:r>
      <w:r w:rsidRPr="001078D5">
        <w:rPr>
          <w:bCs/>
          <w:lang w:val="fi-FI"/>
        </w:rPr>
        <w:t xml:space="preserve"> </w:t>
      </w:r>
      <w:r w:rsidRPr="00E107DB">
        <w:rPr>
          <w:bCs/>
          <w:lang w:val="fi-FI"/>
        </w:rPr>
        <w:t>1</w:t>
      </w:r>
      <w:r w:rsidRPr="001078D5">
        <w:rPr>
          <w:bCs/>
          <w:lang w:val="fi-FI"/>
        </w:rPr>
        <w:t xml:space="preserve"> savaitinė pamok</w:t>
      </w:r>
      <w:r>
        <w:rPr>
          <w:bCs/>
          <w:lang w:val="fi-FI"/>
        </w:rPr>
        <w:t>a, t.y. 3</w:t>
      </w:r>
      <w:r w:rsidR="00310003">
        <w:rPr>
          <w:bCs/>
          <w:lang w:val="fi-FI"/>
        </w:rPr>
        <w:t>4</w:t>
      </w:r>
      <w:r>
        <w:rPr>
          <w:bCs/>
          <w:lang w:val="fi-FI"/>
        </w:rPr>
        <w:t xml:space="preserve"> akademin</w:t>
      </w:r>
      <w:r>
        <w:rPr>
          <w:bCs/>
        </w:rPr>
        <w:t>ė</w:t>
      </w:r>
      <w:r>
        <w:rPr>
          <w:bCs/>
          <w:lang w:val="fi-FI"/>
        </w:rPr>
        <w:t>s valandos.</w:t>
      </w:r>
    </w:p>
    <w:p w:rsidR="00310003" w:rsidRDefault="00310003"/>
    <w:tbl>
      <w:tblPr>
        <w:tblW w:w="14170" w:type="dxa"/>
        <w:tblCellMar>
          <w:top w:w="15" w:type="dxa"/>
          <w:left w:w="15" w:type="dxa"/>
          <w:bottom w:w="15" w:type="dxa"/>
          <w:right w:w="15" w:type="dxa"/>
        </w:tblCellMar>
        <w:tblLook w:val="04A0" w:firstRow="1" w:lastRow="0" w:firstColumn="1" w:lastColumn="0" w:noHBand="0" w:noVBand="1"/>
      </w:tblPr>
      <w:tblGrid>
        <w:gridCol w:w="3664"/>
        <w:gridCol w:w="2950"/>
        <w:gridCol w:w="488"/>
        <w:gridCol w:w="7068"/>
      </w:tblGrid>
      <w:tr w:rsidR="000B2D42" w:rsidRPr="00D75EE0" w:rsidTr="00310003">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0B2D42">
            <w:pPr>
              <w:jc w:val="center"/>
            </w:pPr>
            <w:r w:rsidRPr="00D75EE0">
              <w:rPr>
                <w:color w:val="000000"/>
              </w:rPr>
              <w:t> </w:t>
            </w:r>
            <w:r w:rsidR="003E0B08">
              <w:rPr>
                <w:b/>
                <w:bCs/>
                <w:color w:val="000000"/>
              </w:rPr>
              <w:t>Mokymosi turinio sriti</w:t>
            </w:r>
            <w:bookmarkStart w:id="0" w:name="_GoBack"/>
            <w:bookmarkEnd w:id="0"/>
            <w:r w:rsidR="003E0B08">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jc w:val="center"/>
            </w:pPr>
            <w:r w:rsidRPr="00D75EE0">
              <w:rPr>
                <w:b/>
                <w:bCs/>
                <w:color w:val="000000"/>
              </w:rPr>
              <w:t>Tema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jc w:val="center"/>
            </w:pPr>
            <w:r w:rsidRPr="00D75EE0">
              <w:rPr>
                <w:b/>
                <w:bCs/>
                <w:color w:val="000000"/>
              </w:rPr>
              <w:t>Val. sk.</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jc w:val="center"/>
            </w:pPr>
            <w:r w:rsidRPr="00D75EE0">
              <w:rPr>
                <w:b/>
                <w:bCs/>
                <w:color w:val="000000"/>
              </w:rPr>
              <w:t>Galimos mokinių veiklos</w:t>
            </w:r>
          </w:p>
        </w:tc>
      </w:tr>
      <w:tr w:rsidR="000B2D42" w:rsidRPr="00D75EE0" w:rsidTr="00310003">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rPr>
              <w:t>21</w:t>
            </w:r>
            <w:r w:rsidRPr="00D75EE0">
              <w:rPr>
                <w:b/>
                <w:bCs/>
                <w:color w:val="000000"/>
              </w:rPr>
              <w:t>.1. Lietuvos nacionalinio saugumo ir gynybos sistema.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rPr>
              <w:t>21</w:t>
            </w:r>
            <w:r w:rsidRPr="00D75EE0">
              <w:rPr>
                <w:color w:val="000000"/>
              </w:rPr>
              <w:t>.1.1. Lietuvos nacionalinio saugumo principus reglamentuojantys dokumentai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1</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Apibūdina pagrindinius Lietuvos nacionalinio saugumo principus reglamentuojančius dokumentus: Lietuvos Konstitucija, Nacionalinio saugumo pagrindų įstatymas, Nacionalinio saugumo strategija, Lietuvos Respublikos piliečių rengimo pilietiniam pasipriešinimui strategija ir kiti teisės aktai.</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.1.2. </w:t>
            </w:r>
            <w:r>
              <w:rPr>
                <w:color w:val="000000"/>
                <w:shd w:val="clear" w:color="auto" w:fill="FFFFFF"/>
              </w:rPr>
              <w:t>V</w:t>
            </w:r>
            <w:r w:rsidRPr="00D75EE0">
              <w:rPr>
                <w:color w:val="000000"/>
                <w:shd w:val="clear" w:color="auto" w:fill="FFFFFF"/>
              </w:rPr>
              <w:t xml:space="preserve">isuotinės gynybos sistema </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Nagrinėja visuotinės gynybos sistemą. Apibūdina pagrindinių Lietuvos valstybės institucijų vietą ir funkcijas nacionalinio saugumo ir gynybos </w:t>
            </w:r>
            <w:r w:rsidRPr="00D75EE0">
              <w:rPr>
                <w:color w:val="000000"/>
                <w:shd w:val="clear" w:color="auto" w:fill="FFFFFF"/>
              </w:rPr>
              <w:lastRenderedPageBreak/>
              <w:t>sistemoje: LR Prezidentas, LR Seimas, LR Vyriausybė (ir atskiros ministerijos bei pavaldžios institucijos). </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.1.3. </w:t>
            </w:r>
            <w:r>
              <w:rPr>
                <w:color w:val="000000"/>
                <w:shd w:val="clear" w:color="auto" w:fill="FFFFFF"/>
              </w:rPr>
              <w:t>N</w:t>
            </w:r>
            <w:r w:rsidRPr="00D75EE0">
              <w:rPr>
                <w:color w:val="000000"/>
                <w:shd w:val="clear" w:color="auto" w:fill="FFFFFF"/>
              </w:rPr>
              <w:t>acionalinio saugumo teisiniai režimai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Pristato nacionalinio saugumo teisinius režimus: ekstremalioji situacija, nepaprastoji padėtis, mobilizacija, karo padėtis.</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.1.4. Lietuvos Kariuomenės struktūra ir funkcijos taikos ir karo metu</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Aptaria Lietuvos Kariuomenės funkcijas taikos ir karo metu. Lankydamiesi kariniuose daliniuose susipažįsta su Lietuvos kariuomenės struktūra (Sausumos pajėgos, Karinės jūrų pajėgos, Karinės oro pajėgos, Specialiųjų operacijų pajėgos ir kiti vienetai), jų ypatybėmis ir naudojama ginkluote bei technika. Argumentuotai diskutuoja apie kariuomenės ir visuomenės santykį demokratinėje valstybėje.</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.1.5. Piliečių įsitraukimo į valstybės saugumo užtikrinimą </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Analizuoja piliečių įsitraukimo galimybes ir būdus į valstybės saugumo užtikrinimą: Nuolatinė privalomoji karo tarnyba, Jaunesniųjų karininkų vadų mokymai, profesionali karo tarnyba, tarnyba Krašto apsaugos savanorių pajėgose (KASP), dalyvavimas Lietuvos Šaulių Sąjungos veikloje, studijos Lietuvos Karo Akademijoje. Diskutuoja apie visuotinį šaukimą. Įvertina alternatyvios karo tarnybos </w:t>
            </w:r>
            <w:proofErr w:type="spellStart"/>
            <w:r w:rsidRPr="00D75EE0">
              <w:rPr>
                <w:color w:val="000000"/>
                <w:shd w:val="clear" w:color="auto" w:fill="FFFFFF"/>
              </w:rPr>
              <w:t>privalumus</w:t>
            </w:r>
            <w:proofErr w:type="spellEnd"/>
            <w:r w:rsidRPr="00D75EE0">
              <w:rPr>
                <w:color w:val="000000"/>
                <w:shd w:val="clear" w:color="auto" w:fill="FFFFFF"/>
              </w:rPr>
              <w:t xml:space="preserve"> ir trūkumus. Įsivertina ir pagrindžia, kurie prisidėjimo prie valstybės gynybos būdai jiems yra tinkamiausi.</w:t>
            </w:r>
          </w:p>
          <w:p w:rsidR="000B2D42" w:rsidRPr="00D75EE0" w:rsidRDefault="000B2D42" w:rsidP="0079584C"/>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.1.6. Teisėsaugos institucijų </w:t>
            </w:r>
            <w:r>
              <w:rPr>
                <w:color w:val="000000"/>
                <w:shd w:val="clear" w:color="auto" w:fill="FFFFFF"/>
              </w:rPr>
              <w:t>vieta</w:t>
            </w:r>
            <w:r w:rsidRPr="00D75EE0">
              <w:rPr>
                <w:color w:val="000000"/>
                <w:shd w:val="clear" w:color="auto" w:fill="FFFFFF"/>
              </w:rPr>
              <w:t xml:space="preserve"> užtikrinant Lietuvos nacionalinį saugumą ir gynybą</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Nagrinėja teisėsaugos institucijų vietą užtikrinant Lietuvos nacionalinį saugumą ir gynybą (Policija, Valstybės sienos apsaugos tarnyba, Viešojo saugumo tarnyba ir kitos institucijos). Nagrinėja Priešgaisrinės apsaugos ir gelbėjimo tarnybos funkcijas. Esant galimybei, lankosi šiose institucijose arba į mokyklas atvyksta jų atstovai.</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.1.7. Specialiųjų tyrimų tarnybos funkcijas kovoje su korupcija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Nagrinėja Specialiųjų tyrimų tarnybos funkcijas kovoje su korupcija. Pasitelkdami pavyzdžius argumentuotai diskutuoja apie kovos su korupcija svarbą užtikrinant valstybės nacionalinį saugumą. </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.1.8. Žvalgybos institucijų funkcijos</w:t>
            </w:r>
            <w:r>
              <w:rPr>
                <w:color w:val="000000"/>
                <w:shd w:val="clear" w:color="auto" w:fill="FFFFFF"/>
              </w:rPr>
              <w:t xml:space="preserve"> ir jų vieta</w:t>
            </w:r>
            <w:r w:rsidRPr="00D75EE0">
              <w:rPr>
                <w:color w:val="000000"/>
                <w:shd w:val="clear" w:color="auto" w:fill="FFFFFF"/>
              </w:rPr>
              <w:t xml:space="preserve"> užtikrinant Lietuvos nacionalinį saugumą</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Analizuoja žvalgybos institucijų funkcijas ir jų vieta užtikrinant Lietuvos nacionalinį saugumą. Skiria žvalgybą ir kontržvalgybą. Paaiškina pagrindinius žvalgybos institucijų naudojamus metodus.</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.1.9. </w:t>
            </w:r>
            <w:r>
              <w:rPr>
                <w:color w:val="000000"/>
                <w:shd w:val="clear" w:color="auto" w:fill="FFFFFF"/>
              </w:rPr>
              <w:t>Euroatlantinės integracijos svarba Lietuvos nacionaliniam saugumui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Analizuoja Euroatlantinės integracijos svarbą Lietuvos nacionaliniam saugumui. Nagrinėja Šiaurės Atlanto Sutarties Organizacijos veikimo principus ir Lietuvos vietą joje. Paaiškina Šiaurės Atlanto Sutarties svarbą ir jos pagrindinius straipsnius. Simuliuoja NATO sprendimų priėmimo procesą. Esant galimybei lanko arba kviečia į mokyklą NATO partnerių pajėgas Lietuvoje (NATO priešakinių pajėgų batalionas, Oro policijos misija, Rotacinės amerikiečių pajėgos). Diskutuoja apie Europos Sąjungos bendrąją saugumo ir gynybos politiką.</w:t>
            </w:r>
          </w:p>
        </w:tc>
      </w:tr>
      <w:tr w:rsidR="000B2D42" w:rsidRPr="00D75EE0" w:rsidTr="00310003">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bottom"/>
            <w:hideMark/>
          </w:tcPr>
          <w:p w:rsidR="000B2D42" w:rsidRPr="00D75EE0" w:rsidRDefault="000B2D42" w:rsidP="0079584C">
            <w:r>
              <w:rPr>
                <w:b/>
                <w:bCs/>
                <w:color w:val="000000"/>
              </w:rPr>
              <w:t>21</w:t>
            </w:r>
            <w:r w:rsidRPr="00D75EE0">
              <w:rPr>
                <w:b/>
                <w:bCs/>
                <w:color w:val="000000"/>
              </w:rPr>
              <w:t>.2. Praktiniai įgūdžiai ir žinios reikalingos stiprinant pilietinį atsparumą ir pasirengimą ekstremalioms situacijoms, krizės ir karo atvejais.</w:t>
            </w:r>
          </w:p>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.2.1. Kibernetinio saugumo principai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Ugdosi kibernetinio saugumo įgūdžius. Nagrinėja saugaus elgesio kibernetinėje erdvėje principus. Paaiškina kas yra informacinė higiena, kompiuteriniai virusai ir kita </w:t>
            </w:r>
            <w:proofErr w:type="spellStart"/>
            <w:r w:rsidRPr="00D75EE0">
              <w:rPr>
                <w:color w:val="000000"/>
                <w:shd w:val="clear" w:color="auto" w:fill="FFFFFF"/>
              </w:rPr>
              <w:t>kenkėjiška</w:t>
            </w:r>
            <w:proofErr w:type="spellEnd"/>
            <w:r w:rsidRPr="00D75EE0">
              <w:rPr>
                <w:color w:val="000000"/>
                <w:shd w:val="clear" w:color="auto" w:fill="FFFFFF"/>
              </w:rPr>
              <w:t xml:space="preserve"> programinė įranga. Aptaria įsilaužėlių veikimo principus ir metodus. Analizuoja savo ir artimųjų elgesį kibernetinėje erdvėje bei pristato šio elgesio tobulinimo būdus.</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21.2.2. Informacinis saugumas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Diskutuoja, kas yra informacinis saugumas. Nagrinėja dezinformacijos, informacinio karo, „giliųjų </w:t>
            </w:r>
            <w:proofErr w:type="spellStart"/>
            <w:r w:rsidRPr="00D75EE0">
              <w:rPr>
                <w:color w:val="000000"/>
                <w:shd w:val="clear" w:color="auto" w:fill="FFFFFF"/>
              </w:rPr>
              <w:t>padirbinių</w:t>
            </w:r>
            <w:proofErr w:type="spellEnd"/>
            <w:r w:rsidRPr="00D75EE0">
              <w:rPr>
                <w:color w:val="000000"/>
                <w:shd w:val="clear" w:color="auto" w:fill="FFFFFF"/>
              </w:rPr>
              <w:t xml:space="preserve">” ir kitas sąvokas. Praktinių užsiėmimų metu nagrinėdami viešąją erdvę atpažįsta informacines atakas prieš Lietuvą ir identifikuoja galimus jų pagrindinius tikslus ir naudojamus </w:t>
            </w:r>
            <w:proofErr w:type="spellStart"/>
            <w:r w:rsidRPr="00D75EE0">
              <w:rPr>
                <w:color w:val="000000"/>
                <w:shd w:val="clear" w:color="auto" w:fill="FFFFFF"/>
              </w:rPr>
              <w:t>naratyvus</w:t>
            </w:r>
            <w:proofErr w:type="spellEnd"/>
            <w:r w:rsidRPr="00D75EE0">
              <w:rPr>
                <w:color w:val="000000"/>
                <w:shd w:val="clear" w:color="auto" w:fill="FFFFFF"/>
              </w:rPr>
              <w:t>. Nagrinėja patikimų ir nepatikimų informacijos šaltinių identifikavimo principus, atpažįsta informacines manipuliacijas. Parengia pranešimą dalyko tema, paaiškina šaltinių pasirinkimo, atmetimo ir vertinimo kriterijus. </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.2.3. Užsienio žvalgybų veiklos keliami pavojai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Remdamiesi faktais ir argumentais diskutuoja apie apsisaugojimą nuo užsienio žvalgybų veiklos keliamų pavojų. Paaiškina kaip atpažinti verbavimo, ardomąją ir kitas  pavojingas veiklas. Paaiškina kokie yra apsisaugojimo nuo jų būdai,  kaip saugiai elgtis su asmenine ir kita informacija. Nagrinėja kaip atpažinti nusikalstamų, radikalių, teroristinių ir kitų pavojingų organizacijų veikimą.</w:t>
            </w:r>
          </w:p>
        </w:tc>
      </w:tr>
      <w:tr w:rsidR="000B2D42" w:rsidRPr="00D75EE0" w:rsidTr="003100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.2.4. Pilietinio pasipriešinimo pagrindai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706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Susipažįsta su pilietinio pasipriešinimo pagrindais. Aptaria kolaboravimo ir nekolaboravimo sąvokas. Įvardija pagrindinius pilietinio pasipriešinimo būdus. Remdamiesi šiuolaikiniais ir istoriniais pavyzdžiais pristato sėkmingo ir nesėkmingo pilietinio pasipriešinimo atvejus. Analizuoja šių atvejų </w:t>
            </w:r>
            <w:proofErr w:type="spellStart"/>
            <w:r w:rsidRPr="00D75EE0">
              <w:rPr>
                <w:color w:val="000000"/>
                <w:shd w:val="clear" w:color="auto" w:fill="FFFFFF"/>
              </w:rPr>
              <w:t>privalumus</w:t>
            </w:r>
            <w:proofErr w:type="spellEnd"/>
            <w:r w:rsidRPr="00D75EE0">
              <w:rPr>
                <w:color w:val="000000"/>
                <w:shd w:val="clear" w:color="auto" w:fill="FFFFFF"/>
              </w:rPr>
              <w:t xml:space="preserve"> ir trūkumus.</w:t>
            </w:r>
          </w:p>
        </w:tc>
      </w:tr>
    </w:tbl>
    <w:p w:rsidR="000B2D42" w:rsidRDefault="000B2D42"/>
    <w:sectPr w:rsidR="000B2D42" w:rsidSect="00310003">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42"/>
    <w:rsid w:val="000B2D42"/>
    <w:rsid w:val="00310003"/>
    <w:rsid w:val="003E0B08"/>
    <w:rsid w:val="00F4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7661B-8004-45FE-986F-4A32C564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42"/>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D4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447AD235-D233-4A17-A3B7-C27606F162BB}"/>
</file>

<file path=customXml/itemProps2.xml><?xml version="1.0" encoding="utf-8"?>
<ds:datastoreItem xmlns:ds="http://schemas.openxmlformats.org/officeDocument/2006/customXml" ds:itemID="{D60DF67B-75EB-44C7-A732-EB1726265113}"/>
</file>

<file path=customXml/itemProps3.xml><?xml version="1.0" encoding="utf-8"?>
<ds:datastoreItem xmlns:ds="http://schemas.openxmlformats.org/officeDocument/2006/customXml" ds:itemID="{C94DD1F9-2FDD-4DF0-9411-C9B9EA5D5929}"/>
</file>

<file path=docProps/app.xml><?xml version="1.0" encoding="utf-8"?>
<Properties xmlns="http://schemas.openxmlformats.org/officeDocument/2006/extended-properties" xmlns:vt="http://schemas.openxmlformats.org/officeDocument/2006/docPropsVTypes">
  <Template>Normal.dotm</Template>
  <TotalTime>10</TotalTime>
  <Pages>3</Pages>
  <Words>4821</Words>
  <Characters>2748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UPC</cp:lastModifiedBy>
  <cp:revision>3</cp:revision>
  <dcterms:created xsi:type="dcterms:W3CDTF">2023-05-25T08:41:00Z</dcterms:created>
  <dcterms:modified xsi:type="dcterms:W3CDTF">2023-05-25T09:28:00Z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