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521E13" w:rsidRPr="00CD049E" w:rsidRDefault="00521E13" w:rsidP="00521E13">
      <w:pPr>
        <w:pStyle w:val="ListParagraph"/>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Aukštesniems mokinių pasiekimams ugdyti: projektinė veikla (dalykiniai ir tarpdalykiniai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521E13" w:rsidRDefault="00521E13" w:rsidP="00521E13">
      <w:pPr>
        <w:spacing w:after="0"/>
        <w:ind w:firstLine="360"/>
        <w:jc w:val="both"/>
        <w:rPr>
          <w:rFonts w:ascii="Times New Roman" w:eastAsia="Times New Roman" w:hAnsi="Times New Roman" w:cs="Times New Roman"/>
          <w:sz w:val="24"/>
          <w:szCs w:val="24"/>
        </w:rPr>
      </w:pPr>
    </w:p>
    <w:p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4138CD">
        <w:rPr>
          <w:rFonts w:ascii="Times New Roman" w:eastAsia="Times New Roman" w:hAnsi="Times New Roman" w:cs="Times New Roman"/>
          <w:b/>
          <w:bCs/>
          <w:sz w:val="24"/>
          <w:szCs w:val="24"/>
          <w:lang w:eastAsia="lt-LT"/>
        </w:rPr>
        <w:t>5</w:t>
      </w:r>
      <w:r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521E13" w:rsidRDefault="00521E13" w:rsidP="00521E13">
      <w:pPr>
        <w:spacing w:after="0" w:line="276" w:lineRule="auto"/>
        <w:rPr>
          <w:rFonts w:ascii="Times New Roman" w:eastAsia="Times New Roman" w:hAnsi="Times New Roman" w:cs="Times New Roman"/>
          <w:b/>
          <w:sz w:val="24"/>
          <w:szCs w:val="24"/>
        </w:rPr>
      </w:pPr>
    </w:p>
    <w:p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521E13" w:rsidRDefault="00521E13" w:rsidP="00521E13">
      <w:pPr>
        <w:spacing w:after="0" w:line="240" w:lineRule="auto"/>
        <w:rPr>
          <w:rFonts w:ascii="Times New Roman" w:hAnsi="Times New Roman" w:cs="Times New Roman"/>
          <w:b/>
          <w:sz w:val="24"/>
          <w:szCs w:val="24"/>
        </w:rPr>
      </w:pPr>
    </w:p>
    <w:p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D20728" w:rsidRPr="002A0418" w:rsidRDefault="00D20728" w:rsidP="002A0418">
      <w:pPr>
        <w:spacing w:after="0" w:line="240" w:lineRule="auto"/>
        <w:rPr>
          <w:rFonts w:ascii="Times New Roman" w:eastAsia="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šiuolaikinių autorių; žymiausių lenkų ir užsienio literatūros atstovų; autorių, kurių kūryba ar biografija susijusi su Lietuva; įvairių literatūros tipų: nuotykių, fantastinės; bibliniai pasakojimai ir mitai (adaptuoti vaikams), regiono legendos; dainos ir dainelės, skaičiuotės, mįslės, patarlės. Rinkdamasis tekstus, mokytojas atsižvelgia į tai, kad mokiniai perskaitytų ir aptartų </w:t>
      </w:r>
      <w:r w:rsidRPr="002A0418">
        <w:rPr>
          <w:rFonts w:ascii="Times New Roman" w:hAnsi="Times New Roman" w:cs="Times New Roman"/>
          <w:b/>
          <w:sz w:val="24"/>
          <w:szCs w:val="24"/>
          <w:lang w:eastAsia="lt-LT"/>
        </w:rPr>
        <w:t>bent 4 stambesnės</w:t>
      </w:r>
      <w:r w:rsidRPr="002A0418">
        <w:rPr>
          <w:rFonts w:ascii="Times New Roman" w:hAnsi="Times New Roman" w:cs="Times New Roman"/>
          <w:sz w:val="24"/>
          <w:szCs w:val="24"/>
          <w:lang w:eastAsia="lt-LT"/>
        </w:rPr>
        <w:t xml:space="preserve"> formos kūrinius (romanus, apysakas, dramas) ir keletą smulkesnių žanrų kūrinių (pasakų, legendų, apsakymų, eilėraščių).</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pvz., A. Bahdaj „Wakacje z duchami“, I. Chmielewska „Pamiętnik Blumki“, A. Dziewit-Meller „Damy, dziewuchy, dziewczyny. Historia w spódnicy“, M. Grądzka „Legendy polskie“ (1–2 legendos, neskaitytos pradinėse klasėse), M. Kamiński „Razem na bieguny“, B. Kosmowska „Kolorowy szalik“, I. Krasicki (pasirinktos pasakėčios), B. Leśmian „Przygody Sindbada Żeglarza“, K. Makuszyński (pasirinktas romanas), S. Marciniak „Historia Polski dla Piotrka“, A. Mickiewicz (pasirinktos pasakėčios), „Pan Tadeusz“ (ištraukos pasirinktinai), L. M. Montgomery „Ania z Zielonego Wzgórza“, F. Molnar „Chłopcy z Placu Broni“, A. Murdzek „Demeter i Kora“, B. Prus „Katarynka“, H. Sienkiewicz „W pustyni i w puszczy“, M. Szczygielski „Czarownica piętro niżej“ arba kita pasirinkta knyga, M. Twain „Przygody Tomka Sawyera“, W. Zahorski „Podania i legendy wileńskie“ (1–2 legendos, neskaitytos pradinėse klasėse) ir kt.</w:t>
      </w:r>
    </w:p>
    <w:p w:rsidR="002A0418" w:rsidRPr="00805AFE" w:rsidRDefault="002A0418" w:rsidP="00805AFE">
      <w:pPr>
        <w:pStyle w:val="NoSpacing"/>
        <w:ind w:firstLine="720"/>
        <w:rPr>
          <w:rFonts w:ascii="Times New Roman" w:hAnsi="Times New Roman" w:cs="Times New Roman"/>
          <w:sz w:val="24"/>
          <w:szCs w:val="24"/>
          <w:lang w:eastAsia="lt-LT"/>
        </w:rPr>
      </w:pPr>
      <w:r w:rsidRPr="00805AFE">
        <w:rPr>
          <w:rFonts w:ascii="Times New Roman" w:hAnsi="Times New Roman" w:cs="Times New Roman"/>
          <w:sz w:val="24"/>
          <w:szCs w:val="24"/>
          <w:lang w:eastAsia="lt-LT"/>
        </w:rPr>
        <w:t>Biblijos fragmentai: pvz., „O stworzeniu świata i człowieka“, „Przypowieść o miłosiernym Samarytaninie“.</w:t>
      </w:r>
    </w:p>
    <w:p w:rsidR="002A0418" w:rsidRPr="00805AFE" w:rsidRDefault="002A0418" w:rsidP="00805AFE">
      <w:pPr>
        <w:pStyle w:val="NoSpacing"/>
        <w:ind w:firstLine="720"/>
        <w:rPr>
          <w:rFonts w:ascii="Times New Roman" w:hAnsi="Times New Roman" w:cs="Times New Roman"/>
          <w:sz w:val="24"/>
          <w:szCs w:val="24"/>
          <w:lang w:eastAsia="lt-LT"/>
        </w:rPr>
      </w:pPr>
      <w:r w:rsidRPr="00805AFE">
        <w:rPr>
          <w:rFonts w:ascii="Times New Roman" w:hAnsi="Times New Roman" w:cs="Times New Roman"/>
          <w:sz w:val="24"/>
          <w:szCs w:val="24"/>
          <w:lang w:eastAsia="lt-LT"/>
        </w:rPr>
        <w:t>Mitai: pvz., „Prometeusz“, „Demeter i Kora“, „Herakles“, „Tułaczka Odyseusza“.</w:t>
      </w:r>
    </w:p>
    <w:p w:rsidR="002A0418" w:rsidRPr="00805AFE" w:rsidRDefault="002A0418" w:rsidP="00805AFE">
      <w:pPr>
        <w:pStyle w:val="NoSpacing"/>
        <w:ind w:firstLine="720"/>
        <w:rPr>
          <w:rFonts w:ascii="Times New Roman" w:hAnsi="Times New Roman" w:cs="Times New Roman"/>
          <w:sz w:val="24"/>
          <w:szCs w:val="24"/>
          <w:lang w:eastAsia="lt-LT"/>
        </w:rPr>
      </w:pPr>
      <w:r w:rsidRPr="00805AFE">
        <w:rPr>
          <w:rFonts w:ascii="Times New Roman" w:hAnsi="Times New Roman" w:cs="Times New Roman"/>
          <w:sz w:val="24"/>
          <w:szCs w:val="24"/>
          <w:lang w:eastAsia="lt-LT"/>
        </w:rPr>
        <w:t>Šiuolaikinių ir klasikinių autorių eilėraščiai pasirinktinai: K. I. Gałczyński, K. Iłłakowiczówna, H. Januszewska, V. Kudirka „Tautiška giesmė“ (vertimas į lenkų kalbą), J. Kulmowa, A. Mickiewicz, Cz. Miłosz, J. Słowacki, J. Tuwim, J. Twardowski, D. Wawiłow ir kt.</w:t>
      </w:r>
    </w:p>
    <w:p w:rsidR="007036DD" w:rsidRPr="002A0418" w:rsidRDefault="007036DD"/>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1. Įvairių tekstų klausymas ir supratimas: negožinių (informacinių, publicistinių, praktinių: receptai, instrukcijos ir pan.)</w:t>
            </w:r>
            <w:r>
              <w:rPr>
                <w:rFonts w:ascii="Times New Roman" w:hAnsi="Times New Roman" w:cs="Times New Roman"/>
                <w:sz w:val="24"/>
                <w:szCs w:val="24"/>
                <w:lang w:eastAsia="lt-LT"/>
              </w:rPr>
              <w:t xml:space="preserve">; </w:t>
            </w:r>
            <w:r w:rsidRPr="00CF031A">
              <w:rPr>
                <w:rFonts w:ascii="Times New Roman" w:hAnsi="Times New Roman" w:cs="Times New Roman"/>
                <w:sz w:val="24"/>
                <w:szCs w:val="24"/>
                <w:lang w:eastAsia="lt-LT"/>
              </w:rPr>
              <w:t>tautosakos ir grožinės vaikų literatūros tekstų.</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rsidR="00C92C7E"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26.1.</w:t>
            </w:r>
          </w:p>
          <w:p w:rsidR="002C5D0A" w:rsidRPr="00951CD1" w:rsidRDefault="002C5D0A">
            <w:pPr>
              <w:rPr>
                <w:szCs w:val="24"/>
                <w:lang w:eastAsia="lt-LT"/>
              </w:rPr>
            </w:pPr>
          </w:p>
        </w:tc>
        <w:tc>
          <w:tcPr>
            <w:tcW w:w="1134" w:type="dxa"/>
          </w:tcPr>
          <w:p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rsidTr="00C92C7E">
        <w:tc>
          <w:tcPr>
            <w:tcW w:w="6232" w:type="dxa"/>
          </w:tcPr>
          <w:p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kirčiavimas, sakinių intonavimas.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 raktiniai žodžiai, pagrindinė mintis; svarbiausios detalės, faktai, veiksmų seka, priežasties ir pasekmės ryšiai.</w:t>
            </w:r>
          </w:p>
          <w:p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rsidR="00C92C7E" w:rsidRDefault="00C92C7E" w:rsidP="006433D2">
            <w:pPr>
              <w:rPr>
                <w:szCs w:val="24"/>
                <w:lang w:eastAsia="lt-LT"/>
              </w:rPr>
            </w:pPr>
            <w:r w:rsidRPr="006433D2">
              <w:rPr>
                <w:rFonts w:ascii="Times New Roman" w:hAnsi="Times New Roman" w:cs="Times New Roman"/>
                <w:sz w:val="24"/>
                <w:szCs w:val="24"/>
                <w:highlight w:val="white"/>
                <w:lang w:eastAsia="lt-LT"/>
              </w:rPr>
              <w:t>5. Naudojimosi biblioteka taisykl</w:t>
            </w:r>
            <w:r w:rsidRPr="006433D2">
              <w:rPr>
                <w:rFonts w:ascii="Times New Roman" w:hAnsi="Times New Roman" w:cs="Times New Roman"/>
                <w:sz w:val="24"/>
                <w:szCs w:val="24"/>
                <w:lang w:eastAsia="lt-LT"/>
              </w:rPr>
              <w:t>ės.</w:t>
            </w:r>
            <w:r>
              <w:rPr>
                <w:szCs w:val="24"/>
                <w:lang w:eastAsia="lt-LT"/>
              </w:rPr>
              <w:t xml:space="preserve"> </w:t>
            </w:r>
          </w:p>
          <w:p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26.2.</w:t>
            </w:r>
          </w:p>
          <w:p w:rsidR="002C5D0A" w:rsidRPr="00951CD1" w:rsidRDefault="002C5D0A" w:rsidP="006433D2"/>
        </w:tc>
        <w:tc>
          <w:tcPr>
            <w:tcW w:w="1134" w:type="dxa"/>
          </w:tcPr>
          <w:p w:rsidR="00C92C7E" w:rsidRPr="00951CD1" w:rsidRDefault="00521E13" w:rsidP="00521E13">
            <w:pPr>
              <w:jc w:val="center"/>
            </w:pPr>
            <w:r>
              <w:rPr>
                <w:rFonts w:ascii="Times New Roman" w:hAnsi="Times New Roman" w:cs="Times New Roman"/>
                <w:sz w:val="24"/>
                <w:szCs w:val="24"/>
              </w:rPr>
              <w:t>15</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4. Pasakojimo pirmuoju ir trečiuoju asmeniu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5. Aiškinamojo teksto kūrimas.</w:t>
            </w:r>
          </w:p>
          <w:p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6. Kalbinė raiška.</w:t>
            </w:r>
          </w:p>
          <w:p w:rsidR="00C92C7E" w:rsidRPr="005E3E6A" w:rsidRDefault="00C92C7E" w:rsidP="005E3E6A">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7. Teksto kūrimo strategijos.</w:t>
            </w:r>
          </w:p>
          <w:p w:rsidR="00C92C7E" w:rsidRDefault="00C92C7E" w:rsidP="00341846">
            <w:pPr>
              <w:widowControl w:val="0"/>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8. Įvairaus pobūdžio tekstų kūrimas, paisant žanro reikalavimų, adresato ir komunikavimo situacijos: iliustracijos, paveikslo, gamtos reiškinio, aplinkos aprašymas; pranešimas apie įvykius, atpasakojimas, instrukcija, kvietimas, skelbimas, kūrybiniai bandymai (pvz., pasakojimas, eilėraštis, afiša, scenarijus, dienoraštis ir kt.).</w:t>
            </w:r>
          </w:p>
          <w:p w:rsidR="00C92C7E" w:rsidRPr="00341846"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9. Teksto grafinis apipavidalinimas.</w:t>
            </w:r>
          </w:p>
          <w:p w:rsidR="00C92C7E" w:rsidRDefault="00C92C7E" w:rsidP="00341846">
            <w:pPr>
              <w:widowControl w:val="0"/>
              <w:rPr>
                <w:rFonts w:ascii="Times New Roman" w:hAnsi="Times New Roman" w:cs="Times New Roman"/>
                <w:sz w:val="24"/>
                <w:szCs w:val="24"/>
                <w:highlight w:val="white"/>
                <w:lang w:eastAsia="lt-LT"/>
              </w:rPr>
            </w:pPr>
            <w:r w:rsidRPr="00341846">
              <w:rPr>
                <w:rFonts w:ascii="Times New Roman" w:hAnsi="Times New Roman" w:cs="Times New Roman"/>
                <w:sz w:val="24"/>
                <w:szCs w:val="24"/>
                <w:highlight w:val="white"/>
                <w:lang w:eastAsia="lt-LT"/>
              </w:rPr>
              <w:t xml:space="preserve">10. </w:t>
            </w:r>
            <w:r>
              <w:rPr>
                <w:rFonts w:ascii="Times New Roman" w:hAnsi="Times New Roman" w:cs="Times New Roman"/>
                <w:sz w:val="24"/>
                <w:szCs w:val="24"/>
                <w:highlight w:val="white"/>
                <w:lang w:eastAsia="lt-LT"/>
              </w:rPr>
              <w:t>Rašyba:</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mažoji ir didžioji</w:t>
            </w:r>
            <w:r w:rsidRPr="00341846">
              <w:rPr>
                <w:rFonts w:ascii="Times New Roman" w:hAnsi="Times New Roman" w:cs="Times New Roman"/>
                <w:sz w:val="24"/>
                <w:szCs w:val="24"/>
                <w:highlight w:val="white"/>
                <w:lang w:eastAsia="lt-LT"/>
              </w:rPr>
              <w:t xml:space="preserve"> rai</w:t>
            </w:r>
            <w:r>
              <w:rPr>
                <w:rFonts w:ascii="Times New Roman" w:hAnsi="Times New Roman" w:cs="Times New Roman"/>
                <w:sz w:val="24"/>
                <w:szCs w:val="24"/>
                <w:highlight w:val="white"/>
                <w:lang w:eastAsia="lt-LT"/>
              </w:rPr>
              <w:t>dė</w:t>
            </w:r>
            <w:r w:rsidRPr="00341846">
              <w:rPr>
                <w:rFonts w:ascii="Times New Roman" w:hAnsi="Times New Roman" w:cs="Times New Roman"/>
                <w:sz w:val="24"/>
                <w:szCs w:val="24"/>
                <w:highlight w:val="white"/>
                <w:lang w:eastAsia="lt-LT"/>
              </w:rPr>
              <w:t xml:space="preserve">, </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žodžiai</w:t>
            </w:r>
            <w:r w:rsidRPr="00341846">
              <w:rPr>
                <w:rFonts w:ascii="Times New Roman" w:hAnsi="Times New Roman" w:cs="Times New Roman"/>
                <w:sz w:val="24"/>
                <w:szCs w:val="24"/>
                <w:highlight w:val="white"/>
                <w:lang w:eastAsia="lt-LT"/>
              </w:rPr>
              <w:t>, kurių raš</w:t>
            </w:r>
            <w:r>
              <w:rPr>
                <w:rFonts w:ascii="Times New Roman" w:hAnsi="Times New Roman" w:cs="Times New Roman"/>
                <w:sz w:val="24"/>
                <w:szCs w:val="24"/>
                <w:highlight w:val="white"/>
                <w:lang w:eastAsia="lt-LT"/>
              </w:rPr>
              <w:t>yba skiriasi nuo tarimo, žodžiai</w:t>
            </w:r>
            <w:r w:rsidRPr="00341846">
              <w:rPr>
                <w:rFonts w:ascii="Times New Roman" w:hAnsi="Times New Roman" w:cs="Times New Roman"/>
                <w:sz w:val="24"/>
                <w:szCs w:val="24"/>
                <w:highlight w:val="white"/>
                <w:lang w:eastAsia="lt-LT"/>
              </w:rPr>
              <w:t xml:space="preserve"> su minkštaisiais, du</w:t>
            </w:r>
            <w:r>
              <w:rPr>
                <w:rFonts w:ascii="Times New Roman" w:hAnsi="Times New Roman" w:cs="Times New Roman"/>
                <w:sz w:val="24"/>
                <w:szCs w:val="24"/>
                <w:highlight w:val="white"/>
                <w:lang w:eastAsia="lt-LT"/>
              </w:rPr>
              <w:t xml:space="preserve">sliaisiais priebalsiais, </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lastRenderedPageBreak/>
              <w:t>- žodžiai</w:t>
            </w:r>
            <w:r w:rsidRPr="00341846">
              <w:rPr>
                <w:rFonts w:ascii="Times New Roman" w:hAnsi="Times New Roman" w:cs="Times New Roman"/>
                <w:sz w:val="24"/>
                <w:szCs w:val="24"/>
                <w:highlight w:val="white"/>
                <w:lang w:eastAsia="lt-LT"/>
              </w:rPr>
              <w:t xml:space="preserve"> su „-i, -j“; </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žodžiai</w:t>
            </w:r>
            <w:r w:rsidRPr="00341846">
              <w:rPr>
                <w:rFonts w:ascii="Times New Roman" w:hAnsi="Times New Roman" w:cs="Times New Roman"/>
                <w:sz w:val="24"/>
                <w:szCs w:val="24"/>
                <w:highlight w:val="white"/>
                <w:lang w:eastAsia="lt-LT"/>
              </w:rPr>
              <w:t xml:space="preserve"> su specifiniais kalbos rašto ženklais („ę, ą“; „ó“, „u“; „ż“, „rz“ „h“, „ch“), </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įsidėmėtinos rašybos žodžiai,</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daiktavardžių rašyba</w:t>
            </w:r>
            <w:r w:rsidRPr="00341846">
              <w:rPr>
                <w:rFonts w:ascii="Times New Roman" w:hAnsi="Times New Roman" w:cs="Times New Roman"/>
                <w:sz w:val="24"/>
                <w:szCs w:val="24"/>
                <w:highlight w:val="white"/>
                <w:lang w:eastAsia="lt-LT"/>
              </w:rPr>
              <w:t xml:space="preserve"> su prielinksniais, </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dalelyt</w:t>
            </w:r>
            <w:r w:rsidR="008509CF">
              <w:rPr>
                <w:rFonts w:ascii="Times New Roman" w:hAnsi="Times New Roman" w:cs="Times New Roman"/>
                <w:sz w:val="24"/>
                <w:szCs w:val="24"/>
                <w:highlight w:val="white"/>
                <w:lang w:eastAsia="lt-LT"/>
              </w:rPr>
              <w:t>ė</w:t>
            </w:r>
            <w:r>
              <w:rPr>
                <w:rFonts w:ascii="Times New Roman" w:hAnsi="Times New Roman" w:cs="Times New Roman"/>
                <w:sz w:val="24"/>
                <w:szCs w:val="24"/>
                <w:highlight w:val="white"/>
                <w:lang w:eastAsia="lt-LT"/>
              </w:rPr>
              <w:t xml:space="preserve"> „–by, –bym, - byś“ </w:t>
            </w:r>
            <w:r w:rsidRPr="00341846">
              <w:rPr>
                <w:rFonts w:ascii="Times New Roman" w:hAnsi="Times New Roman" w:cs="Times New Roman"/>
                <w:sz w:val="24"/>
                <w:szCs w:val="24"/>
                <w:highlight w:val="white"/>
                <w:lang w:eastAsia="lt-LT"/>
              </w:rPr>
              <w:t>su veiksmažodžiais</w:t>
            </w:r>
          </w:p>
          <w:p w:rsidR="00C92C7E"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 </w:t>
            </w:r>
            <w:r w:rsidRPr="00341846">
              <w:rPr>
                <w:rFonts w:ascii="Times New Roman" w:hAnsi="Times New Roman" w:cs="Times New Roman"/>
                <w:sz w:val="24"/>
                <w:szCs w:val="24"/>
                <w:highlight w:val="white"/>
                <w:lang w:eastAsia="lt-LT"/>
              </w:rPr>
              <w:t>dalelyt</w:t>
            </w:r>
            <w:r w:rsidR="008509CF">
              <w:rPr>
                <w:rFonts w:ascii="Times New Roman" w:hAnsi="Times New Roman" w:cs="Times New Roman"/>
                <w:sz w:val="24"/>
                <w:szCs w:val="24"/>
                <w:highlight w:val="white"/>
                <w:lang w:eastAsia="lt-LT"/>
              </w:rPr>
              <w:t>ė</w:t>
            </w:r>
            <w:r w:rsidRPr="00341846">
              <w:rPr>
                <w:rFonts w:ascii="Times New Roman" w:hAnsi="Times New Roman" w:cs="Times New Roman"/>
                <w:sz w:val="24"/>
                <w:szCs w:val="24"/>
                <w:highlight w:val="white"/>
                <w:lang w:eastAsia="lt-LT"/>
              </w:rPr>
              <w:t xml:space="preserve"> „nie“ su veiksmažodžiais, daiktavardžiais, būdvardžiais, prieveiksmiais; </w:t>
            </w:r>
          </w:p>
          <w:p w:rsidR="00C92C7E" w:rsidRPr="00341846" w:rsidRDefault="00C92C7E"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žodžiai</w:t>
            </w:r>
            <w:r w:rsidRPr="00341846">
              <w:rPr>
                <w:rFonts w:ascii="Times New Roman" w:hAnsi="Times New Roman" w:cs="Times New Roman"/>
                <w:sz w:val="24"/>
                <w:szCs w:val="24"/>
                <w:highlight w:val="white"/>
                <w:lang w:eastAsia="lt-LT"/>
              </w:rPr>
              <w:t xml:space="preserve"> su priešdėliais „roz-, bez-, z-, s-, wz-, ws-, od-“, su priesagomis „-ski, -cki, -dzki“.</w:t>
            </w:r>
          </w:p>
          <w:p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26.3.</w:t>
            </w:r>
          </w:p>
          <w:p w:rsidR="00C92C7E" w:rsidRPr="006433D2" w:rsidRDefault="00C92C7E"/>
        </w:tc>
        <w:tc>
          <w:tcPr>
            <w:tcW w:w="1134" w:type="dxa"/>
          </w:tcPr>
          <w:p w:rsidR="00C92C7E" w:rsidRPr="006433D2" w:rsidRDefault="00521E13" w:rsidP="00521E13">
            <w:pPr>
              <w:jc w:val="center"/>
            </w:pPr>
            <w:r>
              <w:rPr>
                <w:rFonts w:ascii="Times New Roman" w:hAnsi="Times New Roman" w:cs="Times New Roman"/>
                <w:sz w:val="24"/>
                <w:szCs w:val="24"/>
              </w:rPr>
              <w:lastRenderedPageBreak/>
              <w:t>3</w:t>
            </w:r>
            <w:r w:rsidRPr="00521E13">
              <w:rPr>
                <w:rFonts w:ascii="Times New Roman" w:hAnsi="Times New Roman" w:cs="Times New Roman"/>
                <w:sz w:val="24"/>
                <w:szCs w:val="24"/>
              </w:rPr>
              <w:t>0</w:t>
            </w:r>
          </w:p>
        </w:tc>
        <w:tc>
          <w:tcPr>
            <w:tcW w:w="2552" w:type="dxa"/>
          </w:tcPr>
          <w:p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C92C7E" w:rsidRPr="006433D2" w:rsidRDefault="00C92C7E"/>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C92C7E" w:rsidRPr="00842050" w:rsidRDefault="00C92C7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klasifikavimas; priebalsių supanašėjimas; priebalsių grupių raiškus tarimas; </w:t>
            </w:r>
            <w:r w:rsidR="00AF1CAB" w:rsidRPr="00842050">
              <w:rPr>
                <w:rFonts w:ascii="Times New Roman" w:hAnsi="Times New Roman" w:cs="Times New Roman"/>
                <w:sz w:val="24"/>
                <w:szCs w:val="24"/>
                <w:highlight w:val="white"/>
                <w:lang w:eastAsia="lt-LT"/>
              </w:rPr>
              <w:t>taisykling</w:t>
            </w:r>
            <w:r w:rsidR="00AF1CAB">
              <w:rPr>
                <w:rFonts w:ascii="Times New Roman" w:hAnsi="Times New Roman" w:cs="Times New Roman"/>
                <w:sz w:val="24"/>
                <w:szCs w:val="24"/>
                <w:highlight w:val="white"/>
                <w:lang w:eastAsia="lt-LT"/>
              </w:rPr>
              <w:t>as</w:t>
            </w:r>
            <w:r w:rsidR="00AF1CAB" w:rsidRPr="00842050">
              <w:rPr>
                <w:rFonts w:ascii="Times New Roman" w:hAnsi="Times New Roman" w:cs="Times New Roman"/>
                <w:sz w:val="24"/>
                <w:szCs w:val="24"/>
                <w:highlight w:val="white"/>
                <w:lang w:eastAsia="lt-LT"/>
              </w:rPr>
              <w:t xml:space="preserve"> </w:t>
            </w:r>
            <w:r w:rsidRPr="00842050">
              <w:rPr>
                <w:rFonts w:ascii="Times New Roman" w:hAnsi="Times New Roman" w:cs="Times New Roman"/>
                <w:sz w:val="24"/>
                <w:szCs w:val="24"/>
                <w:highlight w:val="white"/>
                <w:lang w:eastAsia="lt-LT"/>
              </w:rPr>
              <w:t xml:space="preserve">bendraties ir kitų veiksmažodžių gramatinių formų nosinių balsių tarimas. </w:t>
            </w:r>
          </w:p>
          <w:p w:rsidR="00C92C7E" w:rsidRPr="00842050" w:rsidRDefault="00C92C7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2. Taisyklingas kirčiavimas būdvardžių ir prieveiksmių formų, trumpų asmeninių įvardžių formų, vienskiemenių žodžių su prielinksniais ir dalelyte „nie“, veiksmažodžių liepiamosios nuosakos formų.</w:t>
            </w:r>
          </w:p>
          <w:p w:rsidR="00C92C7E" w:rsidRPr="00842050" w:rsidRDefault="00C92C7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3. Leksika ir žodžių daryba: vaizdingų žodžių ir žodžių junginių reikšm</w:t>
            </w:r>
            <w:r w:rsidR="00AF1CAB">
              <w:rPr>
                <w:rFonts w:ascii="Times New Roman" w:hAnsi="Times New Roman" w:cs="Times New Roman"/>
                <w:sz w:val="24"/>
                <w:szCs w:val="24"/>
                <w:highlight w:val="white"/>
                <w:lang w:eastAsia="lt-LT"/>
              </w:rPr>
              <w:t>ė</w:t>
            </w:r>
            <w:r w:rsidRPr="00842050">
              <w:rPr>
                <w:rFonts w:ascii="Times New Roman" w:hAnsi="Times New Roman" w:cs="Times New Roman"/>
                <w:sz w:val="24"/>
                <w:szCs w:val="24"/>
                <w:highlight w:val="white"/>
                <w:lang w:eastAsia="lt-LT"/>
              </w:rPr>
              <w:t xml:space="preserve"> ir funkcij</w:t>
            </w:r>
            <w:r w:rsidR="00AF1CAB">
              <w:rPr>
                <w:rFonts w:ascii="Times New Roman" w:hAnsi="Times New Roman" w:cs="Times New Roman"/>
                <w:sz w:val="24"/>
                <w:szCs w:val="24"/>
                <w:highlight w:val="white"/>
                <w:lang w:eastAsia="lt-LT"/>
              </w:rPr>
              <w:t>os</w:t>
            </w:r>
            <w:r w:rsidRPr="00842050">
              <w:rPr>
                <w:rFonts w:ascii="Times New Roman" w:hAnsi="Times New Roman" w:cs="Times New Roman"/>
                <w:sz w:val="24"/>
                <w:szCs w:val="24"/>
                <w:highlight w:val="white"/>
                <w:lang w:eastAsia="lt-LT"/>
              </w:rPr>
              <w:t>; sinonimai ir antonimai; neologizmai.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4. Giminiškų žodžių semantiniai ryšiai, paprasti</w:t>
            </w:r>
            <w:r w:rsidR="00AF1CAB">
              <w:rPr>
                <w:rFonts w:ascii="Times New Roman" w:hAnsi="Times New Roman" w:cs="Times New Roman"/>
                <w:sz w:val="24"/>
                <w:szCs w:val="24"/>
                <w:highlight w:val="white"/>
                <w:lang w:eastAsia="lt-LT"/>
              </w:rPr>
              <w:t>eji</w:t>
            </w:r>
            <w:r w:rsidRPr="00842050">
              <w:rPr>
                <w:rFonts w:ascii="Times New Roman" w:hAnsi="Times New Roman" w:cs="Times New Roman"/>
                <w:sz w:val="24"/>
                <w:szCs w:val="24"/>
                <w:highlight w:val="white"/>
                <w:lang w:eastAsia="lt-LT"/>
              </w:rPr>
              <w:t xml:space="preserve"> žodžiai ir vediniai.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5. Naujų žodžių su priešdėliais, priesagomis ir galūnėmis sudarymas.</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842050">
              <w:rPr>
                <w:rFonts w:ascii="Times New Roman" w:hAnsi="Times New Roman" w:cs="Times New Roman"/>
                <w:sz w:val="24"/>
                <w:szCs w:val="24"/>
                <w:highlight w:val="white"/>
                <w:lang w:eastAsia="lt-LT"/>
              </w:rPr>
              <w:t>Daiktavardžiai.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Pr="00842050">
              <w:rPr>
                <w:rFonts w:ascii="Times New Roman" w:hAnsi="Times New Roman" w:cs="Times New Roman"/>
                <w:sz w:val="24"/>
                <w:szCs w:val="24"/>
                <w:highlight w:val="white"/>
                <w:lang w:eastAsia="lt-LT"/>
              </w:rPr>
              <w:t>Būdvardžiai.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Pr="00842050">
              <w:rPr>
                <w:rFonts w:ascii="Times New Roman" w:hAnsi="Times New Roman" w:cs="Times New Roman"/>
                <w:sz w:val="24"/>
                <w:szCs w:val="24"/>
                <w:highlight w:val="white"/>
                <w:lang w:eastAsia="lt-LT"/>
              </w:rPr>
              <w:t>Veiksmažodžiai.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Pr="00842050">
              <w:rPr>
                <w:rFonts w:ascii="Times New Roman" w:hAnsi="Times New Roman" w:cs="Times New Roman"/>
                <w:sz w:val="24"/>
                <w:szCs w:val="24"/>
                <w:highlight w:val="white"/>
                <w:lang w:eastAsia="lt-LT"/>
              </w:rPr>
              <w:t>Įvardžiai.</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10. </w:t>
            </w:r>
            <w:r w:rsidRPr="00842050">
              <w:rPr>
                <w:rFonts w:ascii="Times New Roman" w:hAnsi="Times New Roman" w:cs="Times New Roman"/>
                <w:sz w:val="24"/>
                <w:szCs w:val="24"/>
                <w:highlight w:val="white"/>
                <w:lang w:eastAsia="lt-LT"/>
              </w:rPr>
              <w:t>Nesavarankiškos kalbos dalys.</w:t>
            </w:r>
          </w:p>
          <w:p w:rsidR="00C92C7E" w:rsidRPr="00842050" w:rsidRDefault="00C92C7E" w:rsidP="00842050">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r w:rsidRPr="00842050">
              <w:rPr>
                <w:rFonts w:ascii="Times New Roman" w:hAnsi="Times New Roman" w:cs="Times New Roman"/>
                <w:sz w:val="24"/>
                <w:szCs w:val="24"/>
                <w:highlight w:val="white"/>
                <w:lang w:eastAsia="lt-LT"/>
              </w:rPr>
              <w:t>Antrininkės sakinio dalys.</w:t>
            </w:r>
          </w:p>
          <w:p w:rsidR="00C92C7E" w:rsidRDefault="00AF1CAB" w:rsidP="00521E13">
            <w:pPr>
              <w:pBdr>
                <w:top w:val="nil"/>
                <w:left w:val="nil"/>
                <w:bottom w:val="nil"/>
                <w:right w:val="nil"/>
                <w:between w:val="nil"/>
              </w:pBdr>
              <w:jc w:val="both"/>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12. V</w:t>
            </w:r>
            <w:r w:rsidR="00C92C7E" w:rsidRPr="00842050">
              <w:rPr>
                <w:rFonts w:ascii="Times New Roman" w:hAnsi="Times New Roman" w:cs="Times New Roman"/>
                <w:sz w:val="24"/>
                <w:szCs w:val="24"/>
                <w:highlight w:val="white"/>
                <w:lang w:eastAsia="lt-LT"/>
              </w:rPr>
              <w:t>ienarūš</w:t>
            </w:r>
            <w:r>
              <w:rPr>
                <w:rFonts w:ascii="Times New Roman" w:hAnsi="Times New Roman" w:cs="Times New Roman"/>
                <w:sz w:val="24"/>
                <w:szCs w:val="24"/>
                <w:highlight w:val="white"/>
                <w:lang w:eastAsia="lt-LT"/>
              </w:rPr>
              <w:t>ės</w:t>
            </w:r>
            <w:r w:rsidR="00C92C7E" w:rsidRPr="00842050">
              <w:rPr>
                <w:rFonts w:ascii="Times New Roman" w:hAnsi="Times New Roman" w:cs="Times New Roman"/>
                <w:sz w:val="24"/>
                <w:szCs w:val="24"/>
                <w:highlight w:val="white"/>
                <w:lang w:eastAsia="lt-LT"/>
              </w:rPr>
              <w:t xml:space="preserve"> sakinio dal</w:t>
            </w:r>
            <w:r>
              <w:rPr>
                <w:rFonts w:ascii="Times New Roman" w:hAnsi="Times New Roman" w:cs="Times New Roman"/>
                <w:sz w:val="24"/>
                <w:szCs w:val="24"/>
                <w:highlight w:val="white"/>
                <w:lang w:eastAsia="lt-LT"/>
              </w:rPr>
              <w:t>ys</w:t>
            </w:r>
            <w:r w:rsidR="00C92C7E" w:rsidRPr="00842050">
              <w:rPr>
                <w:rFonts w:ascii="Times New Roman" w:hAnsi="Times New Roman" w:cs="Times New Roman"/>
                <w:sz w:val="24"/>
                <w:szCs w:val="24"/>
                <w:highlight w:val="white"/>
                <w:lang w:eastAsia="lt-LT"/>
              </w:rPr>
              <w:t>, jų skyryb</w:t>
            </w:r>
            <w:r>
              <w:rPr>
                <w:rFonts w:ascii="Times New Roman" w:hAnsi="Times New Roman" w:cs="Times New Roman"/>
                <w:sz w:val="24"/>
                <w:szCs w:val="24"/>
                <w:highlight w:val="white"/>
                <w:lang w:eastAsia="lt-LT"/>
              </w:rPr>
              <w:t>a</w:t>
            </w:r>
            <w:r w:rsidR="00C92C7E" w:rsidRPr="00842050">
              <w:rPr>
                <w:rFonts w:ascii="Times New Roman" w:hAnsi="Times New Roman" w:cs="Times New Roman"/>
                <w:sz w:val="24"/>
                <w:szCs w:val="24"/>
                <w:highlight w:val="white"/>
                <w:lang w:eastAsia="lt-LT"/>
              </w:rPr>
              <w:t xml:space="preserve"> (kablelis ir dvitaškis).</w:t>
            </w:r>
          </w:p>
          <w:p w:rsidR="002C5D0A" w:rsidRDefault="002C5D0A"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26.4.</w:t>
            </w:r>
          </w:p>
          <w:p w:rsidR="002C5D0A" w:rsidRPr="00842050" w:rsidRDefault="002C5D0A" w:rsidP="00521E13">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521E13" w:rsidP="00521E13">
            <w:pPr>
              <w:jc w:val="center"/>
            </w:pPr>
            <w:r>
              <w:rPr>
                <w:rFonts w:ascii="Times New Roman" w:hAnsi="Times New Roman" w:cs="Times New Roman"/>
                <w:sz w:val="24"/>
                <w:szCs w:val="24"/>
              </w:rPr>
              <w:t>4</w:t>
            </w:r>
            <w:r w:rsidRPr="00521E13">
              <w:rPr>
                <w:rFonts w:ascii="Times New Roman" w:hAnsi="Times New Roman" w:cs="Times New Roman"/>
                <w:sz w:val="24"/>
                <w:szCs w:val="24"/>
              </w:rPr>
              <w:t>0</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Pr="002A0418" w:rsidRDefault="002A0418" w:rsidP="002A041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Pr="002A0418">
              <w:rPr>
                <w:rFonts w:ascii="Times New Roman" w:hAnsi="Times New Roman" w:cs="Times New Roman"/>
                <w:sz w:val="24"/>
                <w:szCs w:val="24"/>
                <w:lang w:eastAsia="lt-LT"/>
              </w:rPr>
              <w:t>.</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 xml:space="preserve">iteratūros ir </w:t>
            </w:r>
            <w:r w:rsidRPr="00A552D7">
              <w:rPr>
                <w:rFonts w:ascii="Times New Roman" w:eastAsia="Times New Roman" w:hAnsi="Times New Roman" w:cs="Times New Roman"/>
                <w:sz w:val="24"/>
                <w:szCs w:val="24"/>
              </w:rPr>
              <w:lastRenderedPageBreak/>
              <w:t>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rsidTr="00C92C7E">
        <w:tc>
          <w:tcPr>
            <w:tcW w:w="6232" w:type="dxa"/>
          </w:tcPr>
          <w:p w:rsidR="002A0418" w:rsidRPr="002A0418" w:rsidRDefault="002A0418" w:rsidP="004C504E">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rsidR="002A0418" w:rsidRPr="006433D2" w:rsidRDefault="002A0418"/>
        </w:tc>
      </w:tr>
      <w:tr w:rsidR="004C504E" w:rsidTr="00C92C7E">
        <w:tc>
          <w:tcPr>
            <w:tcW w:w="6232" w:type="dxa"/>
          </w:tcPr>
          <w:p w:rsidR="004C504E" w:rsidRDefault="004C504E"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2A0418">
              <w:rPr>
                <w:rFonts w:ascii="Times New Roman" w:hAnsi="Times New Roman" w:cs="Times New Roman"/>
                <w:sz w:val="24"/>
                <w:szCs w:val="24"/>
                <w:lang w:eastAsia="lt-LT"/>
              </w:rPr>
              <w:t>Vaikystės pasaulis: emocijos, jausmai, patirtis, svajonės ir pomėgiai.</w:t>
            </w:r>
          </w:p>
        </w:tc>
        <w:tc>
          <w:tcPr>
            <w:tcW w:w="1134" w:type="dxa"/>
          </w:tcPr>
          <w:p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4C504E" w:rsidRPr="006433D2" w:rsidRDefault="004C504E"/>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2A0418">
              <w:rPr>
                <w:rFonts w:ascii="Times New Roman" w:hAnsi="Times New Roman" w:cs="Times New Roman"/>
                <w:sz w:val="24"/>
                <w:szCs w:val="24"/>
                <w:lang w:eastAsia="lt-LT"/>
              </w:rPr>
              <w:t>Namai. Šeima. Vaikų ir suaugusiųjų pasaulis.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2A0418">
              <w:rPr>
                <w:rFonts w:ascii="Times New Roman" w:hAnsi="Times New Roman" w:cs="Times New Roman"/>
                <w:sz w:val="24"/>
                <w:szCs w:val="24"/>
                <w:lang w:eastAsia="lt-LT"/>
              </w:rPr>
              <w:t>Čia mūsų gimtinė, čia mūsų namai.</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2A0418">
              <w:rPr>
                <w:rFonts w:ascii="Times New Roman" w:hAnsi="Times New Roman" w:cs="Times New Roman"/>
                <w:sz w:val="24"/>
                <w:szCs w:val="24"/>
                <w:lang w:eastAsia="lt-LT"/>
              </w:rPr>
              <w:t>Senųjų laikų atgarsiai: tikrovė ir legendos.</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2A0418">
              <w:rPr>
                <w:rFonts w:ascii="Times New Roman" w:hAnsi="Times New Roman" w:cs="Times New Roman"/>
                <w:sz w:val="24"/>
                <w:szCs w:val="24"/>
                <w:lang w:eastAsia="lt-LT"/>
              </w:rPr>
              <w:t>Kasdienybės stebuklai, svajonės, vaizduotė.</w:t>
            </w:r>
          </w:p>
          <w:p w:rsidR="004C504E" w:rsidRPr="002A0418" w:rsidRDefault="004C504E" w:rsidP="002A0418">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r w:rsidR="002A0418" w:rsidTr="00C92C7E">
        <w:tc>
          <w:tcPr>
            <w:tcW w:w="6232" w:type="dxa"/>
          </w:tcPr>
          <w:p w:rsidR="002A0418" w:rsidRPr="002A0418" w:rsidRDefault="002A0418" w:rsidP="002A041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2A0418">
              <w:rPr>
                <w:rFonts w:ascii="Times New Roman" w:hAnsi="Times New Roman" w:cs="Times New Roman"/>
                <w:sz w:val="24"/>
                <w:szCs w:val="24"/>
                <w:lang w:eastAsia="lt-LT"/>
              </w:rPr>
              <w:t>Kelionė po meno pasaulį.</w:t>
            </w:r>
          </w:p>
          <w:p w:rsidR="002A0418" w:rsidRPr="002A0418" w:rsidRDefault="002A0418" w:rsidP="002A0418">
            <w:pPr>
              <w:pBdr>
                <w:top w:val="nil"/>
                <w:left w:val="nil"/>
                <w:bottom w:val="nil"/>
                <w:right w:val="nil"/>
                <w:between w:val="nil"/>
              </w:pBdr>
              <w:ind w:firstLine="720"/>
              <w:rPr>
                <w:rFonts w:ascii="Times New Roman" w:hAnsi="Times New Roman" w:cs="Times New Roman"/>
                <w:sz w:val="24"/>
                <w:szCs w:val="24"/>
                <w:lang w:eastAsia="lt-LT"/>
              </w:rPr>
            </w:pPr>
          </w:p>
        </w:tc>
        <w:tc>
          <w:tcPr>
            <w:tcW w:w="1134" w:type="dxa"/>
          </w:tcPr>
          <w:p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Literatūros žanrų atpažinimas.</w:t>
      </w:r>
      <w:r w:rsidRPr="002A0418">
        <w:rPr>
          <w:rFonts w:ascii="Times New Roman" w:hAnsi="Times New Roman" w:cs="Times New Roman"/>
          <w:sz w:val="24"/>
          <w:szCs w:val="24"/>
          <w:lang w:eastAsia="lt-LT"/>
        </w:rPr>
        <w:t xml:space="preserve"> Mokomasi atpažinti skaitomo kūrinio žanrą ir nurodyti žanro – apsakymas, dienoraštis ar memuarai (lenk. dziennik albo pamiętnik), legenda, mitas, pasakėčia – ypatybes.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Mokomasi atpažinti tekste alegoriją, epitetą, palyginimą, apostrofą arba kreipinį, perkeltinės reikšmės žodžius, mažybinius žodžius, pakartojimą, garsų pamėgdžiojimą</w:t>
      </w:r>
      <w:r w:rsidR="00E967A5">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E967A5" w:rsidRPr="002A0418">
        <w:rPr>
          <w:rFonts w:ascii="Times New Roman" w:hAnsi="Times New Roman" w:cs="Times New Roman"/>
          <w:sz w:val="24"/>
          <w:szCs w:val="24"/>
          <w:lang w:eastAsia="lt-LT"/>
        </w:rPr>
        <w:t xml:space="preserve">tipiškas </w:t>
      </w:r>
      <w:r w:rsidRPr="002A0418">
        <w:rPr>
          <w:rFonts w:ascii="Times New Roman" w:hAnsi="Times New Roman" w:cs="Times New Roman"/>
          <w:sz w:val="24"/>
          <w:szCs w:val="24"/>
          <w:lang w:eastAsia="lt-LT"/>
        </w:rPr>
        <w:t>pasak</w:t>
      </w:r>
      <w:r w:rsidR="00E967A5">
        <w:rPr>
          <w:rFonts w:ascii="Times New Roman" w:hAnsi="Times New Roman" w:cs="Times New Roman"/>
          <w:sz w:val="24"/>
          <w:szCs w:val="24"/>
          <w:lang w:eastAsia="lt-LT"/>
        </w:rPr>
        <w:t>ų</w:t>
      </w:r>
      <w:r w:rsidRPr="002A0418">
        <w:rPr>
          <w:rFonts w:ascii="Times New Roman" w:hAnsi="Times New Roman" w:cs="Times New Roman"/>
          <w:sz w:val="24"/>
          <w:szCs w:val="24"/>
          <w:lang w:eastAsia="lt-LT"/>
        </w:rPr>
        <w:t xml:space="preserve"> kalbines formules ir aptarti jų funkcijas.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Grožinio teksto interpretavimas ir vertinimas.</w:t>
      </w:r>
      <w:r w:rsidRPr="002A0418">
        <w:rPr>
          <w:rFonts w:ascii="Times New Roman" w:hAnsi="Times New Roman" w:cs="Times New Roman"/>
          <w:sz w:val="24"/>
          <w:szCs w:val="24"/>
          <w:lang w:eastAsia="lt-LT"/>
        </w:rPr>
        <w:t xml:space="preserve"> 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Mokomasi interpretuoti kitus kultūros tekstus skiriant daugiau dėmesio spektaklio ar filmo interpretavimui: išskirti spektaklio elementus (režisierių, aktorių, vaidmenį, sceną, dekoraciją, kostiumą); išskirti filmo elementus (aktorių, scenarijaus autorių, režisierių, kadrą).</w:t>
      </w:r>
    </w:p>
    <w:p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teatro, muziejaus, kino teatro lankymas;</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projektinė veikla (dalykiniai ir tarpdalykiniai projektai; mokykliniai ir regioniniai projektai);</w:t>
      </w:r>
    </w:p>
    <w:p w:rsidR="002A0418" w:rsidRPr="002A0418" w:rsidRDefault="002A0418" w:rsidP="002A0418">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mokykliniai, tarpmokykliniai ir respublikiniai renginiai (pvz., konkursai, olimpiados, festivaliai);</w:t>
      </w:r>
    </w:p>
    <w:p w:rsidR="002A0418" w:rsidRPr="002C5D0A" w:rsidRDefault="002A0418" w:rsidP="002C5D0A">
      <w:pPr>
        <w:pStyle w:val="ListParagraph"/>
        <w:numPr>
          <w:ilvl w:val="0"/>
          <w:numId w:val="4"/>
        </w:numPr>
        <w:pBdr>
          <w:top w:val="nil"/>
          <w:left w:val="nil"/>
          <w:bottom w:val="nil"/>
          <w:right w:val="nil"/>
          <w:between w:val="nil"/>
        </w:pBdr>
        <w:jc w:val="both"/>
        <w:rPr>
          <w:rFonts w:ascii="Times New Roman" w:hAnsi="Times New Roman" w:cs="Times New Roman"/>
          <w:sz w:val="24"/>
          <w:szCs w:val="24"/>
          <w:lang w:eastAsia="lt-LT"/>
        </w:rPr>
      </w:pPr>
      <w:r w:rsidRPr="002A0418">
        <w:rPr>
          <w:rFonts w:ascii="Times New Roman" w:hAnsi="Times New Roman" w:cs="Times New Roman"/>
          <w:sz w:val="24"/>
          <w:szCs w:val="24"/>
          <w:lang w:eastAsia="lt-LT"/>
        </w:rPr>
        <w:t>bendradarbiavimas su kultūros institucijomis (pvz., bibliotekomis, muziejais, meno mokyklomis ir kt.).</w:t>
      </w:r>
    </w:p>
    <w:sectPr w:rsidR="002A0418" w:rsidRPr="002C5D0A"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21C" w:rsidRDefault="00E6121C" w:rsidP="004138CD">
      <w:pPr>
        <w:spacing w:after="0" w:line="240" w:lineRule="auto"/>
      </w:pPr>
      <w:r>
        <w:separator/>
      </w:r>
    </w:p>
  </w:endnote>
  <w:endnote w:type="continuationSeparator" w:id="0">
    <w:p w:rsidR="00E6121C" w:rsidRDefault="00E6121C"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2C5D0A">
          <w:rPr>
            <w:noProof/>
          </w:rPr>
          <w:t>5</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21C" w:rsidRDefault="00E6121C" w:rsidP="004138CD">
      <w:pPr>
        <w:spacing w:after="0" w:line="240" w:lineRule="auto"/>
      </w:pPr>
      <w:r>
        <w:separator/>
      </w:r>
    </w:p>
  </w:footnote>
  <w:footnote w:type="continuationSeparator" w:id="0">
    <w:p w:rsidR="00E6121C" w:rsidRDefault="00E6121C"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1012F9"/>
    <w:rsid w:val="00115D85"/>
    <w:rsid w:val="001D0905"/>
    <w:rsid w:val="001D1F44"/>
    <w:rsid w:val="002A0418"/>
    <w:rsid w:val="002A6548"/>
    <w:rsid w:val="002C5D0A"/>
    <w:rsid w:val="00341846"/>
    <w:rsid w:val="003608D0"/>
    <w:rsid w:val="003F1054"/>
    <w:rsid w:val="004138CD"/>
    <w:rsid w:val="004C504E"/>
    <w:rsid w:val="0051607D"/>
    <w:rsid w:val="00521E13"/>
    <w:rsid w:val="0059550E"/>
    <w:rsid w:val="005C0B60"/>
    <w:rsid w:val="005E3E6A"/>
    <w:rsid w:val="006433D2"/>
    <w:rsid w:val="00686EFF"/>
    <w:rsid w:val="006D76CF"/>
    <w:rsid w:val="007036DD"/>
    <w:rsid w:val="007A3D07"/>
    <w:rsid w:val="007F2FCF"/>
    <w:rsid w:val="00805AFE"/>
    <w:rsid w:val="00842050"/>
    <w:rsid w:val="008509CF"/>
    <w:rsid w:val="00951CD1"/>
    <w:rsid w:val="00AF1CAB"/>
    <w:rsid w:val="00BA3546"/>
    <w:rsid w:val="00C45839"/>
    <w:rsid w:val="00C76BA9"/>
    <w:rsid w:val="00C92C7E"/>
    <w:rsid w:val="00CC4363"/>
    <w:rsid w:val="00CF031A"/>
    <w:rsid w:val="00D20728"/>
    <w:rsid w:val="00E6121C"/>
    <w:rsid w:val="00E96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 w:type="paragraph" w:styleId="BalloonText">
    <w:name w:val="Balloon Text"/>
    <w:basedOn w:val="Normal"/>
    <w:link w:val="BalloonTextChar"/>
    <w:uiPriority w:val="99"/>
    <w:semiHidden/>
    <w:unhideWhenUsed/>
    <w:rsid w:val="002A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22CA-D6A1-4A58-BA9E-6401A9E86E4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3E708422-2B3D-46BF-9E99-62A6F74E62E9}">
  <ds:schemaRefs>
    <ds:schemaRef ds:uri="http://schemas.microsoft.com/sharepoint/v3/contenttype/forms"/>
  </ds:schemaRefs>
</ds:datastoreItem>
</file>

<file path=customXml/itemProps3.xml><?xml version="1.0" encoding="utf-8"?>
<ds:datastoreItem xmlns:ds="http://schemas.openxmlformats.org/officeDocument/2006/customXml" ds:itemID="{48E59A85-419D-458C-ADB7-C36DAB0C1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2092</Words>
  <Characters>11929</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5</cp:revision>
  <dcterms:created xsi:type="dcterms:W3CDTF">2023-05-29T13:14:00Z</dcterms:created>
  <dcterms:modified xsi:type="dcterms:W3CDTF">2023-05-31T11:19:00Z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