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77777777"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4D7F011D"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w:t>
      </w:r>
      <w:r w:rsidR="00E70C88">
        <w:rPr>
          <w:rStyle w:val="normaltextrun"/>
          <w:b/>
          <w:bCs/>
        </w:rPr>
        <w:t xml:space="preserve"> TIKYBOS  ILGALAIKIS  PLANAS 5</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5D91F5A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E70C88">
        <w:rPr>
          <w:rStyle w:val="normaltextrun"/>
          <w:u w:val="single"/>
        </w:rPr>
        <w:t xml:space="preserve"> pamoka per savaitę , iš viso 37</w:t>
      </w:r>
      <w:r>
        <w:rPr>
          <w:rStyle w:val="normaltextrun"/>
          <w:u w:val="single"/>
        </w:rPr>
        <w:t xml:space="preserve">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603279">
            <w:pPr>
              <w:jc w:val="center"/>
              <w:rPr>
                <w:b/>
                <w:lang w:eastAsia="en-US"/>
              </w:rPr>
            </w:pPr>
            <w:r>
              <w:rPr>
                <w:b/>
                <w:lang w:eastAsia="en-US"/>
              </w:rPr>
              <w:t>70 proc.</w:t>
            </w:r>
          </w:p>
          <w:p w14:paraId="5CF86A57" w14:textId="6D9806FE" w:rsidR="00190CDA" w:rsidRDefault="00571C44" w:rsidP="00603279">
            <w:pPr>
              <w:ind w:firstLine="30"/>
              <w:jc w:val="center"/>
              <w:rPr>
                <w:lang w:eastAsia="en-US"/>
              </w:rPr>
            </w:pPr>
            <w:r>
              <w:rPr>
                <w:b/>
                <w:lang w:eastAsia="en-US"/>
              </w:rPr>
              <w:t>26</w:t>
            </w:r>
            <w:r w:rsidR="00190CDA">
              <w:rPr>
                <w:b/>
                <w:lang w:eastAsia="en-US"/>
              </w:rPr>
              <w:t xml:space="preserve"> val.</w:t>
            </w:r>
          </w:p>
        </w:tc>
        <w:tc>
          <w:tcPr>
            <w:tcW w:w="1842" w:type="dxa"/>
          </w:tcPr>
          <w:p w14:paraId="41146A77" w14:textId="77777777" w:rsidR="00190CDA" w:rsidRDefault="00190CDA" w:rsidP="00603279">
            <w:pPr>
              <w:ind w:firstLine="33"/>
              <w:jc w:val="center"/>
              <w:rPr>
                <w:b/>
                <w:lang w:eastAsia="en-US"/>
              </w:rPr>
            </w:pPr>
            <w:r>
              <w:rPr>
                <w:b/>
                <w:lang w:eastAsia="en-US"/>
              </w:rPr>
              <w:t>30 proc.</w:t>
            </w:r>
          </w:p>
          <w:p w14:paraId="47452F6C" w14:textId="03712942" w:rsidR="00190CDA" w:rsidRDefault="00571C44" w:rsidP="00603279">
            <w:pPr>
              <w:ind w:firstLine="33"/>
              <w:jc w:val="center"/>
              <w:rPr>
                <w:b/>
                <w:lang w:eastAsia="en-US"/>
              </w:rPr>
            </w:pPr>
            <w:r>
              <w:rPr>
                <w:b/>
                <w:lang w:eastAsia="en-US"/>
              </w:rPr>
              <w:t>11</w:t>
            </w:r>
            <w:bookmarkStart w:id="0" w:name="_GoBack"/>
            <w:bookmarkEnd w:id="0"/>
            <w:r w:rsidR="00190CDA">
              <w:rPr>
                <w:b/>
                <w:lang w:eastAsia="en-US"/>
              </w:rPr>
              <w:t xml:space="preserve"> val.</w:t>
            </w:r>
          </w:p>
        </w:tc>
      </w:tr>
      <w:tr w:rsidR="00E70C88" w14:paraId="1C04EF9C" w14:textId="77777777" w:rsidTr="00190CDA">
        <w:tc>
          <w:tcPr>
            <w:tcW w:w="846" w:type="dxa"/>
          </w:tcPr>
          <w:p w14:paraId="5CC34469" w14:textId="3CE0AD1A" w:rsidR="00E70C88" w:rsidRDefault="00E70C88" w:rsidP="00E70C88">
            <w:pPr>
              <w:jc w:val="both"/>
            </w:pPr>
            <w:r>
              <w:t>1.</w:t>
            </w:r>
          </w:p>
        </w:tc>
        <w:tc>
          <w:tcPr>
            <w:tcW w:w="4678" w:type="dxa"/>
          </w:tcPr>
          <w:p w14:paraId="4A245C7E" w14:textId="2D34A859" w:rsidR="00E70C88" w:rsidRDefault="00E70C88" w:rsidP="00E70C88">
            <w:pPr>
              <w:pStyle w:val="ListParagraph"/>
              <w:ind w:left="30" w:firstLine="30"/>
              <w:rPr>
                <w:bCs/>
              </w:rPr>
            </w:pPr>
            <w:r>
              <w:rPr>
                <w:bCs/>
              </w:rPr>
              <w:t>Ko mokysimės šiais metais? Supažindinimas su katalikų  tikybos programa, 5 klasės mokymosi turiniu, pasiekimų vertinimo ir įsivertinimo kriterijais.</w:t>
            </w:r>
          </w:p>
        </w:tc>
        <w:tc>
          <w:tcPr>
            <w:tcW w:w="1842" w:type="dxa"/>
          </w:tcPr>
          <w:p w14:paraId="6FFD1A46" w14:textId="77777777" w:rsidR="00E70C88" w:rsidRPr="00190CDA" w:rsidRDefault="00E70C88" w:rsidP="00E70C88">
            <w:pPr>
              <w:jc w:val="center"/>
            </w:pPr>
            <w:r w:rsidRPr="00190CDA">
              <w:t>1</w:t>
            </w:r>
          </w:p>
        </w:tc>
        <w:tc>
          <w:tcPr>
            <w:tcW w:w="1842" w:type="dxa"/>
          </w:tcPr>
          <w:p w14:paraId="5BE5DABA" w14:textId="77777777" w:rsidR="00E70C88" w:rsidRPr="00986DF1" w:rsidRDefault="00E70C88" w:rsidP="00E70C88">
            <w:pPr>
              <w:jc w:val="center"/>
              <w:rPr>
                <w:highlight w:val="yellow"/>
              </w:rPr>
            </w:pPr>
          </w:p>
        </w:tc>
      </w:tr>
      <w:tr w:rsidR="00E70C88" w14:paraId="1BEAB7CA" w14:textId="77777777" w:rsidTr="00190CDA">
        <w:tc>
          <w:tcPr>
            <w:tcW w:w="846" w:type="dxa"/>
          </w:tcPr>
          <w:p w14:paraId="0468E594" w14:textId="08487903" w:rsidR="00E70C88" w:rsidRDefault="00E70C88" w:rsidP="00E70C88">
            <w:pPr>
              <w:jc w:val="both"/>
            </w:pPr>
            <w:r>
              <w:t>2.</w:t>
            </w:r>
          </w:p>
        </w:tc>
        <w:tc>
          <w:tcPr>
            <w:tcW w:w="4678" w:type="dxa"/>
          </w:tcPr>
          <w:p w14:paraId="2B959DAD" w14:textId="77777777" w:rsidR="00E70C88" w:rsidRDefault="00E70C88" w:rsidP="00E70C88">
            <w:pPr>
              <w:widowControl w:val="0"/>
              <w:ind w:firstLine="720"/>
              <w:jc w:val="both"/>
              <w:rPr>
                <w:bCs/>
                <w:szCs w:val="24"/>
              </w:rPr>
            </w:pPr>
            <w:r>
              <w:rPr>
                <w:bCs/>
                <w:szCs w:val="24"/>
              </w:rPr>
              <w:t>29.1. </w:t>
            </w:r>
            <w:r>
              <w:rPr>
                <w:szCs w:val="24"/>
              </w:rPr>
              <w:t>Šventojo Rašto pažinimas</w:t>
            </w:r>
            <w:r>
              <w:rPr>
                <w:bCs/>
                <w:szCs w:val="24"/>
              </w:rPr>
              <w:t>.</w:t>
            </w:r>
          </w:p>
          <w:p w14:paraId="25CECCB1" w14:textId="55556244" w:rsidR="00E70C88" w:rsidRDefault="00E70C88" w:rsidP="00E70C88">
            <w:pPr>
              <w:widowControl w:val="0"/>
              <w:pBdr>
                <w:top w:val="nil"/>
                <w:left w:val="nil"/>
                <w:bottom w:val="nil"/>
                <w:right w:val="nil"/>
                <w:between w:val="nil"/>
              </w:pBdr>
              <w:ind w:firstLine="720"/>
              <w:jc w:val="both"/>
              <w:rPr>
                <w:szCs w:val="24"/>
              </w:rPr>
            </w:pPr>
            <w:r>
              <w:rPr>
                <w:bCs/>
                <w:szCs w:val="24"/>
              </w:rPr>
              <w:t xml:space="preserve">29.1.1. Patarimai Išminties literatūroje. </w:t>
            </w:r>
          </w:p>
          <w:p w14:paraId="67DEDB15" w14:textId="12AC243E" w:rsidR="00E70C88" w:rsidRPr="0022266C" w:rsidRDefault="00E70C88" w:rsidP="000A4F48">
            <w:pPr>
              <w:widowControl w:val="0"/>
              <w:pBdr>
                <w:top w:val="nil"/>
                <w:left w:val="nil"/>
                <w:bottom w:val="nil"/>
                <w:right w:val="nil"/>
                <w:between w:val="nil"/>
              </w:pBdr>
              <w:ind w:firstLine="720"/>
              <w:jc w:val="both"/>
              <w:rPr>
                <w:noProof/>
              </w:rPr>
            </w:pPr>
            <w:r>
              <w:rPr>
                <w:bCs/>
                <w:szCs w:val="24"/>
              </w:rPr>
              <w:lastRenderedPageBreak/>
              <w:t xml:space="preserve">29.1.2. Biblija paaiškina Bibliją. </w:t>
            </w:r>
          </w:p>
        </w:tc>
        <w:tc>
          <w:tcPr>
            <w:tcW w:w="1842" w:type="dxa"/>
          </w:tcPr>
          <w:p w14:paraId="6B87A3F8" w14:textId="7B66EB85" w:rsidR="00E70C88" w:rsidRPr="00190CDA" w:rsidRDefault="00E70C88" w:rsidP="00E70C88">
            <w:pPr>
              <w:jc w:val="center"/>
            </w:pPr>
            <w:r>
              <w:lastRenderedPageBreak/>
              <w:t>5</w:t>
            </w:r>
          </w:p>
        </w:tc>
        <w:tc>
          <w:tcPr>
            <w:tcW w:w="1842" w:type="dxa"/>
          </w:tcPr>
          <w:p w14:paraId="4DAA5E26" w14:textId="77777777" w:rsidR="00E70C88" w:rsidRPr="00986DF1" w:rsidRDefault="00E70C88" w:rsidP="00E70C88">
            <w:pPr>
              <w:jc w:val="center"/>
              <w:rPr>
                <w:highlight w:val="yellow"/>
              </w:rPr>
            </w:pPr>
          </w:p>
        </w:tc>
      </w:tr>
      <w:tr w:rsidR="00E70C88" w14:paraId="7F390AB5" w14:textId="77777777" w:rsidTr="00190CDA">
        <w:tc>
          <w:tcPr>
            <w:tcW w:w="846" w:type="dxa"/>
          </w:tcPr>
          <w:p w14:paraId="16998E03" w14:textId="0F9C41EE" w:rsidR="00E70C88" w:rsidRDefault="00E70C88" w:rsidP="00E70C88">
            <w:pPr>
              <w:jc w:val="both"/>
            </w:pPr>
            <w:r>
              <w:t>3.</w:t>
            </w:r>
          </w:p>
        </w:tc>
        <w:tc>
          <w:tcPr>
            <w:tcW w:w="4678" w:type="dxa"/>
          </w:tcPr>
          <w:p w14:paraId="47FD06AF" w14:textId="77777777" w:rsidR="00E70C88" w:rsidRDefault="00E70C88" w:rsidP="00E70C88">
            <w:pPr>
              <w:widowControl w:val="0"/>
              <w:pBdr>
                <w:top w:val="nil"/>
                <w:left w:val="nil"/>
                <w:bottom w:val="nil"/>
                <w:right w:val="nil"/>
                <w:between w:val="nil"/>
              </w:pBdr>
              <w:ind w:firstLine="720"/>
              <w:jc w:val="both"/>
              <w:rPr>
                <w:bCs/>
                <w:szCs w:val="24"/>
              </w:rPr>
            </w:pPr>
            <w:r>
              <w:rPr>
                <w:bCs/>
                <w:szCs w:val="24"/>
              </w:rPr>
              <w:t>29.2. </w:t>
            </w:r>
            <w:r>
              <w:rPr>
                <w:szCs w:val="24"/>
              </w:rPr>
              <w:t>Tikėjimo turinio pažinimas</w:t>
            </w:r>
            <w:r>
              <w:rPr>
                <w:bCs/>
                <w:szCs w:val="24"/>
              </w:rPr>
              <w:t>.</w:t>
            </w:r>
          </w:p>
          <w:p w14:paraId="63FF0529" w14:textId="4C2BC492" w:rsidR="00E70C88" w:rsidRPr="0022266C" w:rsidRDefault="00E70C88" w:rsidP="000A4F48">
            <w:pPr>
              <w:widowControl w:val="0"/>
              <w:pBdr>
                <w:top w:val="nil"/>
                <w:left w:val="nil"/>
                <w:bottom w:val="nil"/>
                <w:right w:val="nil"/>
                <w:between w:val="nil"/>
              </w:pBdr>
              <w:ind w:firstLine="720"/>
              <w:jc w:val="both"/>
            </w:pPr>
            <w:r>
              <w:rPr>
                <w:bCs/>
                <w:szCs w:val="24"/>
              </w:rPr>
              <w:t xml:space="preserve">29.2.1. Santykis tarp Dievo ir žmogaus. </w:t>
            </w:r>
          </w:p>
        </w:tc>
        <w:tc>
          <w:tcPr>
            <w:tcW w:w="1842" w:type="dxa"/>
          </w:tcPr>
          <w:p w14:paraId="4975DDF8" w14:textId="1971F0CF" w:rsidR="00E70C88" w:rsidRPr="00190CDA" w:rsidRDefault="00E70C88" w:rsidP="00E70C88">
            <w:pPr>
              <w:jc w:val="center"/>
            </w:pPr>
            <w:r>
              <w:t>5</w:t>
            </w:r>
          </w:p>
        </w:tc>
        <w:tc>
          <w:tcPr>
            <w:tcW w:w="1842" w:type="dxa"/>
          </w:tcPr>
          <w:p w14:paraId="49D15866" w14:textId="77777777" w:rsidR="00E70C88" w:rsidRPr="00986DF1" w:rsidRDefault="00E70C88" w:rsidP="00E70C88">
            <w:pPr>
              <w:jc w:val="center"/>
              <w:rPr>
                <w:highlight w:val="yellow"/>
              </w:rPr>
            </w:pPr>
          </w:p>
        </w:tc>
      </w:tr>
      <w:tr w:rsidR="00E70C88" w14:paraId="26F945FC" w14:textId="77777777" w:rsidTr="00190CDA">
        <w:tc>
          <w:tcPr>
            <w:tcW w:w="846" w:type="dxa"/>
          </w:tcPr>
          <w:p w14:paraId="4A5CB0CC" w14:textId="4690CDFB" w:rsidR="00E70C88" w:rsidRDefault="00E70C88" w:rsidP="00E70C88">
            <w:pPr>
              <w:jc w:val="both"/>
            </w:pPr>
            <w:r>
              <w:t>4.</w:t>
            </w:r>
          </w:p>
        </w:tc>
        <w:tc>
          <w:tcPr>
            <w:tcW w:w="4678" w:type="dxa"/>
          </w:tcPr>
          <w:p w14:paraId="3B565084" w14:textId="77777777" w:rsidR="00E70C88" w:rsidRDefault="00E70C88" w:rsidP="00E70C88">
            <w:pPr>
              <w:widowControl w:val="0"/>
              <w:pBdr>
                <w:top w:val="nil"/>
                <w:left w:val="nil"/>
                <w:bottom w:val="nil"/>
                <w:right w:val="nil"/>
                <w:between w:val="nil"/>
              </w:pBdr>
              <w:ind w:firstLine="720"/>
              <w:jc w:val="both"/>
              <w:rPr>
                <w:bCs/>
                <w:szCs w:val="24"/>
              </w:rPr>
            </w:pPr>
            <w:r>
              <w:rPr>
                <w:bCs/>
                <w:szCs w:val="24"/>
              </w:rPr>
              <w:t>29.3. </w:t>
            </w:r>
            <w:r>
              <w:rPr>
                <w:szCs w:val="24"/>
              </w:rPr>
              <w:t>Bažnyčia ir liturgija</w:t>
            </w:r>
            <w:r>
              <w:rPr>
                <w:bCs/>
                <w:szCs w:val="24"/>
              </w:rPr>
              <w:t>.</w:t>
            </w:r>
          </w:p>
          <w:p w14:paraId="0DAEBE05" w14:textId="79758E2C" w:rsidR="00E70C88" w:rsidRDefault="00E70C88" w:rsidP="000A4F48">
            <w:pPr>
              <w:widowControl w:val="0"/>
              <w:pBdr>
                <w:top w:val="nil"/>
                <w:left w:val="nil"/>
                <w:bottom w:val="nil"/>
                <w:right w:val="nil"/>
                <w:between w:val="nil"/>
              </w:pBdr>
              <w:ind w:firstLine="720"/>
              <w:jc w:val="both"/>
            </w:pPr>
            <w:r>
              <w:rPr>
                <w:bCs/>
                <w:szCs w:val="24"/>
              </w:rPr>
              <w:t xml:space="preserve">29.3.1. Bažnyčia – keliaujanti ir tarnaujanti bendruomenė. </w:t>
            </w:r>
          </w:p>
        </w:tc>
        <w:tc>
          <w:tcPr>
            <w:tcW w:w="1842" w:type="dxa"/>
          </w:tcPr>
          <w:p w14:paraId="03BC82BD" w14:textId="1442DAC3" w:rsidR="00E70C88" w:rsidRPr="00190CDA" w:rsidRDefault="00571C44" w:rsidP="00E70C88">
            <w:pPr>
              <w:jc w:val="center"/>
            </w:pPr>
            <w:r>
              <w:t>4</w:t>
            </w:r>
          </w:p>
        </w:tc>
        <w:tc>
          <w:tcPr>
            <w:tcW w:w="1842" w:type="dxa"/>
          </w:tcPr>
          <w:p w14:paraId="71F0339F" w14:textId="77777777" w:rsidR="00E70C88" w:rsidRPr="00986DF1" w:rsidRDefault="00E70C88" w:rsidP="00E70C88">
            <w:pPr>
              <w:jc w:val="center"/>
              <w:rPr>
                <w:highlight w:val="yellow"/>
              </w:rPr>
            </w:pPr>
          </w:p>
        </w:tc>
      </w:tr>
      <w:tr w:rsidR="00E70C88" w14:paraId="6BE67A80" w14:textId="77777777" w:rsidTr="00190CDA">
        <w:tc>
          <w:tcPr>
            <w:tcW w:w="846" w:type="dxa"/>
          </w:tcPr>
          <w:p w14:paraId="43FEABB0" w14:textId="5AAC4FF2" w:rsidR="00E70C88" w:rsidRDefault="00E70C88" w:rsidP="00E70C88">
            <w:pPr>
              <w:jc w:val="both"/>
            </w:pPr>
            <w:r>
              <w:t>5.</w:t>
            </w:r>
          </w:p>
        </w:tc>
        <w:tc>
          <w:tcPr>
            <w:tcW w:w="4678" w:type="dxa"/>
          </w:tcPr>
          <w:p w14:paraId="238F7860" w14:textId="77777777" w:rsidR="00E70C88" w:rsidRDefault="00E70C88" w:rsidP="00E70C88">
            <w:pPr>
              <w:widowControl w:val="0"/>
              <w:pBdr>
                <w:top w:val="nil"/>
                <w:left w:val="nil"/>
                <w:bottom w:val="nil"/>
                <w:right w:val="nil"/>
                <w:between w:val="nil"/>
              </w:pBdr>
              <w:ind w:firstLine="720"/>
              <w:jc w:val="both"/>
              <w:rPr>
                <w:bCs/>
                <w:szCs w:val="24"/>
              </w:rPr>
            </w:pPr>
            <w:r>
              <w:rPr>
                <w:bCs/>
                <w:szCs w:val="24"/>
              </w:rPr>
              <w:t>29.4. Asmens tobulėjimas ir dvasinis gyvenimas.</w:t>
            </w:r>
          </w:p>
          <w:p w14:paraId="5209C641" w14:textId="1E2F0B78" w:rsidR="00E70C88" w:rsidRDefault="00E70C88" w:rsidP="00E70C88">
            <w:pPr>
              <w:widowControl w:val="0"/>
              <w:pBdr>
                <w:top w:val="nil"/>
                <w:left w:val="nil"/>
                <w:bottom w:val="nil"/>
                <w:right w:val="nil"/>
                <w:between w:val="nil"/>
              </w:pBdr>
              <w:ind w:firstLine="720"/>
              <w:jc w:val="both"/>
              <w:rPr>
                <w:b/>
                <w:szCs w:val="24"/>
              </w:rPr>
            </w:pPr>
            <w:r>
              <w:rPr>
                <w:bCs/>
                <w:szCs w:val="24"/>
              </w:rPr>
              <w:t xml:space="preserve">29.4.1. Malda Šventajame Rašte ir su Šventuoju Raštu. </w:t>
            </w:r>
          </w:p>
          <w:p w14:paraId="0B41B43D" w14:textId="4363798F" w:rsidR="00E70C88" w:rsidRPr="00982CCE" w:rsidRDefault="00E70C88" w:rsidP="000A4F48">
            <w:pPr>
              <w:widowControl w:val="0"/>
              <w:ind w:firstLine="720"/>
              <w:jc w:val="both"/>
              <w:rPr>
                <w:b/>
                <w:color w:val="000000"/>
              </w:rPr>
            </w:pPr>
            <w:r>
              <w:rPr>
                <w:bCs/>
                <w:szCs w:val="24"/>
              </w:rPr>
              <w:t xml:space="preserve">29.4.2. Švč. Mergelė Marija – ypatingas asmuo. </w:t>
            </w:r>
          </w:p>
        </w:tc>
        <w:tc>
          <w:tcPr>
            <w:tcW w:w="1842" w:type="dxa"/>
          </w:tcPr>
          <w:p w14:paraId="72AC393C" w14:textId="77777777" w:rsidR="00E70C88" w:rsidRPr="00190CDA" w:rsidRDefault="00E70C88" w:rsidP="00E70C88">
            <w:pPr>
              <w:jc w:val="center"/>
            </w:pPr>
            <w:r w:rsidRPr="00190CDA">
              <w:t>5</w:t>
            </w:r>
          </w:p>
        </w:tc>
        <w:tc>
          <w:tcPr>
            <w:tcW w:w="1842" w:type="dxa"/>
          </w:tcPr>
          <w:p w14:paraId="541CB206" w14:textId="77777777" w:rsidR="00E70C88" w:rsidRPr="00986DF1" w:rsidRDefault="00E70C88" w:rsidP="00E70C88">
            <w:pPr>
              <w:jc w:val="center"/>
              <w:rPr>
                <w:highlight w:val="yellow"/>
              </w:rPr>
            </w:pPr>
          </w:p>
        </w:tc>
      </w:tr>
      <w:tr w:rsidR="00E70C88" w14:paraId="30538BB6" w14:textId="77777777" w:rsidTr="00190CDA">
        <w:tc>
          <w:tcPr>
            <w:tcW w:w="846" w:type="dxa"/>
          </w:tcPr>
          <w:p w14:paraId="03F6770A" w14:textId="08D9E40B" w:rsidR="00E70C88" w:rsidRDefault="00E70C88" w:rsidP="00E70C88">
            <w:pPr>
              <w:jc w:val="both"/>
            </w:pPr>
            <w:r>
              <w:t>6.</w:t>
            </w:r>
          </w:p>
        </w:tc>
        <w:tc>
          <w:tcPr>
            <w:tcW w:w="4678" w:type="dxa"/>
          </w:tcPr>
          <w:p w14:paraId="7EF5D57A" w14:textId="77777777" w:rsidR="00E70C88" w:rsidRDefault="00E70C88" w:rsidP="00E70C88">
            <w:pPr>
              <w:widowControl w:val="0"/>
              <w:pBdr>
                <w:top w:val="nil"/>
                <w:left w:val="nil"/>
                <w:bottom w:val="nil"/>
                <w:right w:val="nil"/>
                <w:between w:val="nil"/>
              </w:pBdr>
              <w:ind w:firstLine="720"/>
              <w:jc w:val="both"/>
              <w:rPr>
                <w:bCs/>
                <w:szCs w:val="24"/>
              </w:rPr>
            </w:pPr>
            <w:r>
              <w:rPr>
                <w:szCs w:val="24"/>
                <w:lang w:eastAsia="ar-SA"/>
              </w:rPr>
              <w:t xml:space="preserve"> </w:t>
            </w:r>
            <w:r>
              <w:rPr>
                <w:bCs/>
                <w:szCs w:val="24"/>
              </w:rPr>
              <w:t>29.5. Asmuo ir moralė.</w:t>
            </w:r>
          </w:p>
          <w:p w14:paraId="380BA04F" w14:textId="2FD4FBF6" w:rsidR="00E70C88" w:rsidRDefault="00E70C88" w:rsidP="00E70C88">
            <w:pPr>
              <w:widowControl w:val="0"/>
              <w:pBdr>
                <w:top w:val="nil"/>
                <w:left w:val="nil"/>
                <w:bottom w:val="nil"/>
                <w:right w:val="nil"/>
                <w:between w:val="nil"/>
              </w:pBdr>
              <w:ind w:firstLine="720"/>
              <w:jc w:val="both"/>
              <w:rPr>
                <w:bCs/>
                <w:szCs w:val="24"/>
              </w:rPr>
            </w:pPr>
            <w:r>
              <w:rPr>
                <w:bCs/>
                <w:szCs w:val="24"/>
              </w:rPr>
              <w:t xml:space="preserve">29.5.1. Rizikingas elgesys. </w:t>
            </w:r>
          </w:p>
          <w:p w14:paraId="35FEC8BE" w14:textId="01E11D58" w:rsidR="00E70C88" w:rsidRPr="0022266C" w:rsidRDefault="00E70C88" w:rsidP="000A4F48">
            <w:pPr>
              <w:widowControl w:val="0"/>
              <w:pBdr>
                <w:top w:val="nil"/>
                <w:left w:val="nil"/>
                <w:bottom w:val="nil"/>
                <w:right w:val="nil"/>
                <w:between w:val="nil"/>
              </w:pBdr>
              <w:ind w:firstLine="720"/>
              <w:jc w:val="both"/>
              <w:rPr>
                <w:bCs/>
              </w:rPr>
            </w:pPr>
            <w:r>
              <w:rPr>
                <w:bCs/>
                <w:szCs w:val="24"/>
              </w:rPr>
              <w:t xml:space="preserve">29.5.2. Dievas įgalina aktyviai veikti (sveikata). </w:t>
            </w:r>
          </w:p>
        </w:tc>
        <w:tc>
          <w:tcPr>
            <w:tcW w:w="1842" w:type="dxa"/>
          </w:tcPr>
          <w:p w14:paraId="0A67E776" w14:textId="77777777" w:rsidR="00E70C88" w:rsidRPr="00190CDA" w:rsidRDefault="00E70C88" w:rsidP="00E70C88">
            <w:pPr>
              <w:jc w:val="center"/>
            </w:pPr>
            <w:r w:rsidRPr="00190CDA">
              <w:t>5</w:t>
            </w:r>
          </w:p>
        </w:tc>
        <w:tc>
          <w:tcPr>
            <w:tcW w:w="1842" w:type="dxa"/>
          </w:tcPr>
          <w:p w14:paraId="4F274374" w14:textId="77777777" w:rsidR="00E70C88" w:rsidRPr="00986DF1" w:rsidRDefault="00E70C88" w:rsidP="00E70C88">
            <w:pPr>
              <w:jc w:val="center"/>
              <w:rPr>
                <w:highlight w:val="yellow"/>
              </w:rPr>
            </w:pPr>
          </w:p>
        </w:tc>
      </w:tr>
      <w:tr w:rsidR="00E70C88" w14:paraId="2D860174" w14:textId="77777777" w:rsidTr="00190CDA">
        <w:tc>
          <w:tcPr>
            <w:tcW w:w="846" w:type="dxa"/>
          </w:tcPr>
          <w:p w14:paraId="1023A567" w14:textId="769FB246" w:rsidR="00E70C88" w:rsidRDefault="00E70C88" w:rsidP="00E70C88">
            <w:pPr>
              <w:jc w:val="center"/>
            </w:pPr>
            <w:r>
              <w:t>7.</w:t>
            </w:r>
          </w:p>
        </w:tc>
        <w:tc>
          <w:tcPr>
            <w:tcW w:w="4678" w:type="dxa"/>
          </w:tcPr>
          <w:p w14:paraId="428D238E" w14:textId="46982891" w:rsidR="00E70C88" w:rsidRDefault="00E70C88" w:rsidP="00E70C88">
            <w:pPr>
              <w:pStyle w:val="ListParagraph"/>
              <w:ind w:left="0" w:firstLine="0"/>
            </w:pPr>
            <w:r>
              <w:t>Ko išmokau per šiuos metus? Refleksija ir įsivertinimas</w:t>
            </w:r>
          </w:p>
        </w:tc>
        <w:tc>
          <w:tcPr>
            <w:tcW w:w="1842" w:type="dxa"/>
          </w:tcPr>
          <w:p w14:paraId="3B99CED6" w14:textId="77777777" w:rsidR="00E70C88" w:rsidRPr="00190CDA" w:rsidRDefault="00E70C88" w:rsidP="00E70C88">
            <w:pPr>
              <w:jc w:val="center"/>
            </w:pPr>
            <w:r w:rsidRPr="00190CDA">
              <w:t>1</w:t>
            </w:r>
          </w:p>
        </w:tc>
        <w:tc>
          <w:tcPr>
            <w:tcW w:w="1842" w:type="dxa"/>
          </w:tcPr>
          <w:p w14:paraId="16A0AFD3" w14:textId="77777777" w:rsidR="00E70C88" w:rsidRPr="00986DF1" w:rsidRDefault="00E70C88" w:rsidP="00E70C88">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A4F48"/>
    <w:rsid w:val="000D0839"/>
    <w:rsid w:val="001343FA"/>
    <w:rsid w:val="00190CDA"/>
    <w:rsid w:val="002146DC"/>
    <w:rsid w:val="00546379"/>
    <w:rsid w:val="00571C44"/>
    <w:rsid w:val="00603279"/>
    <w:rsid w:val="00892F8B"/>
    <w:rsid w:val="008F5765"/>
    <w:rsid w:val="00E70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DEE8A4E-4799-4839-AD18-83498ACD331B}"/>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2ABC3D9C-9AD0-4511-87DA-797BEB72F5CD}">
  <ds:schemaRefs>
    <ds:schemaRef ds:uri="http://purl.org/dc/terms/"/>
    <ds:schemaRef ds:uri="http://purl.org/dc/dcmitype/"/>
    <ds:schemaRef ds:uri="http://schemas.microsoft.com/office/2006/documentManagement/types"/>
    <ds:schemaRef ds:uri="bd2a18c2-06d4-44cd-af38-3237b532008a"/>
    <ds:schemaRef ds:uri="http://schemas.microsoft.com/office/2006/metadata/properties"/>
    <ds:schemaRef ds:uri="http://schemas.microsoft.com/office/infopath/2007/PartnerControls"/>
    <ds:schemaRef ds:uri="http://schemas.openxmlformats.org/package/2006/metadata/core-properties"/>
    <ds:schemaRef ds:uri="441e4d8e-a8ab-46be-9694-e40af28e9c6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2617</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2023-06-05T08:27:00Z</dcterms:created>
  <dcterms:modified xsi:type="dcterms:W3CDTF">2023-06-05T08:31:00Z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