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0FA80EDD" w:rsidR="00520913" w:rsidRDefault="007F555A" w:rsidP="00520913">
      <w:pPr>
        <w:jc w:val="center"/>
        <w:rPr>
          <w:szCs w:val="24"/>
          <w:lang w:eastAsia="ar-SA"/>
        </w:rPr>
      </w:pPr>
      <w:r>
        <w:rPr>
          <w:rStyle w:val="normaltextrun"/>
          <w:b/>
          <w:bCs/>
          <w:color w:val="000000"/>
          <w:bdr w:val="none" w:sz="0" w:space="0" w:color="auto" w:frame="1"/>
        </w:rPr>
        <w:t>KARAIMŲ</w:t>
      </w:r>
      <w:r w:rsidR="00520913">
        <w:rPr>
          <w:rStyle w:val="normaltextrun"/>
          <w:b/>
          <w:bCs/>
          <w:color w:val="000000"/>
          <w:bdr w:val="none" w:sz="0" w:space="0" w:color="auto" w:frame="1"/>
        </w:rPr>
        <w:t xml:space="preserve"> TIKYBOS  ILGALAIKIO PLANO RENGIMAS</w:t>
      </w:r>
    </w:p>
    <w:p w14:paraId="337C4F7C" w14:textId="77777777" w:rsidR="00520913" w:rsidRDefault="00520913" w:rsidP="00520913">
      <w:pPr>
        <w:rPr>
          <w:szCs w:val="24"/>
          <w:lang w:eastAsia="ar-SA"/>
        </w:rPr>
      </w:pPr>
    </w:p>
    <w:p w14:paraId="430228A1" w14:textId="36531E4A"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7F555A">
        <w:rPr>
          <w:rStyle w:val="normaltextrun"/>
          <w:color w:val="000000"/>
          <w:shd w:val="clear" w:color="auto" w:fill="FFFFFF"/>
        </w:rPr>
        <w:t>Karaimų</w:t>
      </w:r>
      <w:r>
        <w:rPr>
          <w:rStyle w:val="normaltextrun"/>
          <w:color w:val="000000"/>
          <w:shd w:val="clear" w:color="auto" w:fill="FFFFFF"/>
        </w:rPr>
        <w:t xml:space="preserve"> 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bookmarkStart w:id="0" w:name="_GoBack"/>
      <w:bookmarkEnd w:id="0"/>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77777777"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38849180" w14:textId="4E2770A0"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 xml:space="preserve">yra pateikiamos </w:t>
      </w:r>
      <w:r w:rsidR="007F555A">
        <w:rPr>
          <w:rStyle w:val="normaltextrun"/>
        </w:rPr>
        <w:t>Karaimų</w:t>
      </w:r>
      <w:r>
        <w:rPr>
          <w:rStyle w:val="normaltextrun"/>
        </w:rPr>
        <w:t xml:space="preserve"> 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77777777"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p>
    <w:p w14:paraId="77247E51" w14:textId="1610049E" w:rsidR="00520913" w:rsidRDefault="007F555A" w:rsidP="00520913">
      <w:pPr>
        <w:pStyle w:val="paragraph"/>
        <w:spacing w:before="0" w:beforeAutospacing="0" w:after="0" w:afterAutospacing="0"/>
        <w:ind w:left="360"/>
        <w:jc w:val="center"/>
        <w:textAlignment w:val="baseline"/>
        <w:rPr>
          <w:rStyle w:val="normaltextrun"/>
          <w:b/>
          <w:bCs/>
        </w:rPr>
      </w:pPr>
      <w:r>
        <w:rPr>
          <w:rStyle w:val="normaltextrun"/>
          <w:b/>
          <w:bCs/>
        </w:rPr>
        <w:t>KARAIMŲ</w:t>
      </w:r>
      <w:r w:rsidR="00AA67E0">
        <w:rPr>
          <w:rStyle w:val="normaltextrun"/>
          <w:b/>
          <w:bCs/>
        </w:rPr>
        <w:t xml:space="preserve"> TIKYBOS  ILGALAIKIS  PLANAS </w:t>
      </w:r>
      <w:r w:rsidR="00683B1E">
        <w:rPr>
          <w:rStyle w:val="normaltextrun"/>
          <w:b/>
          <w:bCs/>
        </w:rPr>
        <w:t>7</w:t>
      </w:r>
      <w:r w:rsidR="00520913">
        <w:rPr>
          <w:rStyle w:val="normaltextrun"/>
          <w:b/>
          <w:bCs/>
        </w:rPr>
        <w:t xml:space="preserve"> 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616914DA"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 xml:space="preserve">1 pamoka per savaitę , iš </w:t>
      </w:r>
      <w:r w:rsidR="00CE174B">
        <w:rPr>
          <w:rStyle w:val="normaltextrun"/>
          <w:u w:val="single"/>
        </w:rPr>
        <w:t>viso 37</w:t>
      </w:r>
      <w:r>
        <w:rPr>
          <w:rStyle w:val="normaltextrun"/>
          <w:u w:val="single"/>
        </w:rPr>
        <w:t xml:space="preserve"> pamokos</w:t>
      </w:r>
      <w:r>
        <w:rPr>
          <w:rStyle w:val="eop"/>
        </w:rPr>
        <w:t> </w:t>
      </w:r>
    </w:p>
    <w:p w14:paraId="488EC293"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3DDA3DD2" w14:textId="77777777" w:rsidR="00520913" w:rsidRDefault="00520913" w:rsidP="00520913"/>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394"/>
        <w:gridCol w:w="1984"/>
        <w:gridCol w:w="1984"/>
      </w:tblGrid>
      <w:tr w:rsidR="00520913" w14:paraId="10383388" w14:textId="77777777" w:rsidTr="00A21F9B">
        <w:tc>
          <w:tcPr>
            <w:tcW w:w="846" w:type="dxa"/>
          </w:tcPr>
          <w:p w14:paraId="7882664B" w14:textId="77777777" w:rsidR="00520913" w:rsidRDefault="00520913" w:rsidP="00A21F9B">
            <w:pPr>
              <w:jc w:val="both"/>
            </w:pPr>
            <w:r w:rsidRPr="00074F19">
              <w:rPr>
                <w:b/>
              </w:rPr>
              <w:t>EIL. NR.</w:t>
            </w:r>
          </w:p>
        </w:tc>
        <w:tc>
          <w:tcPr>
            <w:tcW w:w="4394" w:type="dxa"/>
          </w:tcPr>
          <w:p w14:paraId="3D9B569D" w14:textId="77777777" w:rsidR="00520913" w:rsidRDefault="00520913" w:rsidP="00A21F9B">
            <w:pPr>
              <w:jc w:val="center"/>
            </w:pPr>
            <w:r>
              <w:rPr>
                <w:b/>
              </w:rPr>
              <w:t>MOKYMOSI TURINIO SRITIS, TEMA</w:t>
            </w:r>
          </w:p>
        </w:tc>
        <w:tc>
          <w:tcPr>
            <w:tcW w:w="1984" w:type="dxa"/>
          </w:tcPr>
          <w:p w14:paraId="0B56992F" w14:textId="77777777" w:rsidR="00520913" w:rsidRDefault="00520913" w:rsidP="00A21F9B">
            <w:pPr>
              <w:jc w:val="center"/>
              <w:rPr>
                <w:b/>
              </w:rPr>
            </w:pPr>
            <w:r>
              <w:rPr>
                <w:b/>
              </w:rPr>
              <w:t>70 proc.</w:t>
            </w:r>
          </w:p>
          <w:p w14:paraId="143F52E1" w14:textId="6B138547" w:rsidR="00520913" w:rsidRDefault="00CE174B" w:rsidP="00A21F9B">
            <w:pPr>
              <w:jc w:val="center"/>
            </w:pPr>
            <w:r>
              <w:rPr>
                <w:b/>
              </w:rPr>
              <w:t>29</w:t>
            </w:r>
            <w:r w:rsidR="00520913">
              <w:rPr>
                <w:b/>
              </w:rPr>
              <w:t xml:space="preserve"> val.</w:t>
            </w:r>
          </w:p>
        </w:tc>
        <w:tc>
          <w:tcPr>
            <w:tcW w:w="1984" w:type="dxa"/>
          </w:tcPr>
          <w:p w14:paraId="5C5B3B0F" w14:textId="77777777" w:rsidR="00520913" w:rsidRDefault="00520913" w:rsidP="00A21F9B">
            <w:pPr>
              <w:jc w:val="center"/>
              <w:rPr>
                <w:b/>
              </w:rPr>
            </w:pPr>
            <w:r>
              <w:rPr>
                <w:b/>
              </w:rPr>
              <w:t>30 proc.</w:t>
            </w:r>
          </w:p>
          <w:p w14:paraId="32F58691" w14:textId="1F359B02" w:rsidR="00520913" w:rsidRPr="00074F19" w:rsidRDefault="006765E1" w:rsidP="00A21F9B">
            <w:pPr>
              <w:jc w:val="center"/>
              <w:rPr>
                <w:b/>
              </w:rPr>
            </w:pPr>
            <w:r>
              <w:rPr>
                <w:b/>
              </w:rPr>
              <w:t>8</w:t>
            </w:r>
            <w:r w:rsidR="003E3776">
              <w:rPr>
                <w:b/>
              </w:rPr>
              <w:t xml:space="preserve"> </w:t>
            </w:r>
            <w:r w:rsidR="00520913">
              <w:rPr>
                <w:b/>
              </w:rPr>
              <w:t>val.</w:t>
            </w:r>
          </w:p>
        </w:tc>
      </w:tr>
      <w:tr w:rsidR="00520913" w14:paraId="5C1E33EB" w14:textId="77777777" w:rsidTr="00A21F9B">
        <w:tc>
          <w:tcPr>
            <w:tcW w:w="846" w:type="dxa"/>
          </w:tcPr>
          <w:p w14:paraId="571DAD7D" w14:textId="77777777" w:rsidR="00520913" w:rsidRDefault="00520913" w:rsidP="00520913">
            <w:pPr>
              <w:jc w:val="both"/>
            </w:pPr>
            <w:r>
              <w:t>1.</w:t>
            </w:r>
          </w:p>
        </w:tc>
        <w:tc>
          <w:tcPr>
            <w:tcW w:w="4394" w:type="dxa"/>
          </w:tcPr>
          <w:p w14:paraId="28958062" w14:textId="4CB296EB" w:rsidR="00520913" w:rsidRDefault="00520913" w:rsidP="007A78D0">
            <w:pPr>
              <w:pStyle w:val="ListParagraph"/>
              <w:ind w:left="30" w:firstLine="30"/>
              <w:rPr>
                <w:bCs/>
              </w:rPr>
            </w:pPr>
            <w:r>
              <w:rPr>
                <w:bCs/>
              </w:rPr>
              <w:t>Ko mokysimės šiais metais? Mokiniai supažind</w:t>
            </w:r>
            <w:r w:rsidR="00712086">
              <w:rPr>
                <w:bCs/>
              </w:rPr>
              <w:t>inami su karaimų</w:t>
            </w:r>
            <w:r w:rsidR="007A78D0">
              <w:rPr>
                <w:bCs/>
              </w:rPr>
              <w:t xml:space="preserve"> tikybos programa, 7 </w:t>
            </w:r>
            <w:r>
              <w:rPr>
                <w:bCs/>
              </w:rPr>
              <w:t>klasės mokymosi turiniu, pasiekimų vertinimo ir įsivertinimo kriterijais.</w:t>
            </w:r>
          </w:p>
        </w:tc>
        <w:tc>
          <w:tcPr>
            <w:tcW w:w="1984" w:type="dxa"/>
          </w:tcPr>
          <w:p w14:paraId="0A6AFFA1" w14:textId="77777777" w:rsidR="00520913" w:rsidRDefault="00520913" w:rsidP="00520913">
            <w:pPr>
              <w:jc w:val="center"/>
            </w:pPr>
            <w:r>
              <w:t>1</w:t>
            </w:r>
          </w:p>
        </w:tc>
        <w:tc>
          <w:tcPr>
            <w:tcW w:w="1984" w:type="dxa"/>
          </w:tcPr>
          <w:p w14:paraId="45DD76AA" w14:textId="77777777" w:rsidR="00520913" w:rsidRDefault="00520913" w:rsidP="00520913">
            <w:pPr>
              <w:jc w:val="center"/>
            </w:pPr>
          </w:p>
        </w:tc>
      </w:tr>
      <w:tr w:rsidR="00520913" w14:paraId="1E1E6693" w14:textId="77777777" w:rsidTr="00A21F9B">
        <w:tc>
          <w:tcPr>
            <w:tcW w:w="846" w:type="dxa"/>
          </w:tcPr>
          <w:p w14:paraId="0DBAA840" w14:textId="77777777" w:rsidR="00520913" w:rsidRDefault="00520913" w:rsidP="00520913">
            <w:pPr>
              <w:jc w:val="both"/>
            </w:pPr>
            <w:r>
              <w:t>2.</w:t>
            </w:r>
          </w:p>
        </w:tc>
        <w:tc>
          <w:tcPr>
            <w:tcW w:w="4394" w:type="dxa"/>
          </w:tcPr>
          <w:p w14:paraId="545B466D" w14:textId="035C96D0" w:rsidR="00712086" w:rsidRDefault="00683B1E" w:rsidP="00712086">
            <w:pPr>
              <w:widowControl w:val="0"/>
              <w:ind w:firstLine="720"/>
              <w:rPr>
                <w:bCs/>
                <w:color w:val="000000"/>
                <w:szCs w:val="24"/>
                <w:lang w:eastAsia="ar-SA"/>
              </w:rPr>
            </w:pPr>
            <w:r>
              <w:rPr>
                <w:bCs/>
                <w:szCs w:val="24"/>
              </w:rPr>
              <w:t>30</w:t>
            </w:r>
            <w:r w:rsidR="00712086">
              <w:rPr>
                <w:bCs/>
                <w:szCs w:val="24"/>
              </w:rPr>
              <w:t>.1. </w:t>
            </w:r>
            <w:r w:rsidR="00712086">
              <w:rPr>
                <w:szCs w:val="24"/>
              </w:rPr>
              <w:t>Šventojo Rašto (ST) pažinimas.</w:t>
            </w:r>
          </w:p>
          <w:p w14:paraId="2009700D" w14:textId="65151F7A" w:rsidR="00520913" w:rsidRDefault="00683B1E" w:rsidP="00712086">
            <w:pPr>
              <w:widowControl w:val="0"/>
              <w:jc w:val="both"/>
              <w:rPr>
                <w:noProof/>
                <w:lang w:eastAsia="en-US"/>
              </w:rPr>
            </w:pPr>
            <w:r>
              <w:rPr>
                <w:color w:val="000000"/>
                <w:lang w:eastAsia="ar-SA"/>
              </w:rPr>
              <w:lastRenderedPageBreak/>
              <w:t>30</w:t>
            </w:r>
            <w:r w:rsidR="00712086">
              <w:rPr>
                <w:color w:val="000000"/>
                <w:lang w:eastAsia="ar-SA"/>
              </w:rPr>
              <w:t>.1.1. Bendras karaimų religijos supratimas</w:t>
            </w:r>
            <w:r w:rsidR="00712086">
              <w:rPr>
                <w:color w:val="00B050"/>
                <w:lang w:eastAsia="ar-SA"/>
              </w:rPr>
              <w:t xml:space="preserve">. </w:t>
            </w:r>
            <w:r w:rsidR="00520913">
              <w:rPr>
                <w:szCs w:val="24"/>
                <w:lang w:eastAsia="ar-SA"/>
              </w:rPr>
              <w:t xml:space="preserve"> </w:t>
            </w:r>
          </w:p>
        </w:tc>
        <w:tc>
          <w:tcPr>
            <w:tcW w:w="1984" w:type="dxa"/>
          </w:tcPr>
          <w:p w14:paraId="251C55C0" w14:textId="5457B2CD" w:rsidR="00520913" w:rsidRDefault="0030759B" w:rsidP="00520913">
            <w:pPr>
              <w:jc w:val="center"/>
            </w:pPr>
            <w:r>
              <w:lastRenderedPageBreak/>
              <w:t>6</w:t>
            </w:r>
          </w:p>
        </w:tc>
        <w:tc>
          <w:tcPr>
            <w:tcW w:w="1984" w:type="dxa"/>
          </w:tcPr>
          <w:p w14:paraId="4B1274FA" w14:textId="77777777" w:rsidR="00520913" w:rsidRDefault="00520913" w:rsidP="00520913">
            <w:pPr>
              <w:jc w:val="center"/>
            </w:pPr>
          </w:p>
        </w:tc>
      </w:tr>
      <w:tr w:rsidR="00520913" w14:paraId="3328F8B8" w14:textId="77777777" w:rsidTr="00A21F9B">
        <w:tc>
          <w:tcPr>
            <w:tcW w:w="846" w:type="dxa"/>
          </w:tcPr>
          <w:p w14:paraId="0F51E162" w14:textId="72964B21" w:rsidR="00520913" w:rsidRDefault="00B41227" w:rsidP="00520913">
            <w:pPr>
              <w:jc w:val="both"/>
            </w:pPr>
            <w:r>
              <w:t>3.</w:t>
            </w:r>
          </w:p>
        </w:tc>
        <w:tc>
          <w:tcPr>
            <w:tcW w:w="4394" w:type="dxa"/>
          </w:tcPr>
          <w:p w14:paraId="2CEFF9B5" w14:textId="2C8A54B0" w:rsidR="00712086" w:rsidRDefault="00683B1E" w:rsidP="00712086">
            <w:pPr>
              <w:widowControl w:val="0"/>
              <w:ind w:firstLine="720"/>
              <w:rPr>
                <w:bCs/>
                <w:szCs w:val="24"/>
              </w:rPr>
            </w:pPr>
            <w:r>
              <w:rPr>
                <w:bCs/>
                <w:szCs w:val="24"/>
              </w:rPr>
              <w:t>30</w:t>
            </w:r>
            <w:r w:rsidR="00712086">
              <w:rPr>
                <w:bCs/>
                <w:szCs w:val="24"/>
              </w:rPr>
              <w:t>.2. Tikėjimo turinio pažinimas.</w:t>
            </w:r>
          </w:p>
          <w:p w14:paraId="25FEEF0D" w14:textId="0B80FB02" w:rsidR="00520913" w:rsidRDefault="00683B1E" w:rsidP="00712086">
            <w:pPr>
              <w:widowControl w:val="0"/>
              <w:ind w:hanging="109"/>
              <w:jc w:val="both"/>
              <w:rPr>
                <w:lang w:eastAsia="en-US"/>
              </w:rPr>
            </w:pPr>
            <w:r>
              <w:rPr>
                <w:bCs/>
                <w:color w:val="000000"/>
                <w:szCs w:val="24"/>
                <w:lang w:eastAsia="ar-SA"/>
              </w:rPr>
              <w:t>30</w:t>
            </w:r>
            <w:r w:rsidR="00712086">
              <w:rPr>
                <w:bCs/>
                <w:color w:val="000000"/>
                <w:szCs w:val="24"/>
                <w:lang w:eastAsia="ar-SA"/>
              </w:rPr>
              <w:t xml:space="preserve">.2.1. Karaimų istorijos pažinimas. </w:t>
            </w:r>
            <w:r w:rsidR="00520913">
              <w:rPr>
                <w:szCs w:val="24"/>
                <w:lang w:eastAsia="ar-SA"/>
              </w:rPr>
              <w:t xml:space="preserve"> </w:t>
            </w:r>
          </w:p>
        </w:tc>
        <w:tc>
          <w:tcPr>
            <w:tcW w:w="1984" w:type="dxa"/>
          </w:tcPr>
          <w:p w14:paraId="40259FB6" w14:textId="358A69FF" w:rsidR="00520913" w:rsidRDefault="0030759B" w:rsidP="00520913">
            <w:pPr>
              <w:jc w:val="center"/>
            </w:pPr>
            <w:r>
              <w:t>6</w:t>
            </w:r>
          </w:p>
        </w:tc>
        <w:tc>
          <w:tcPr>
            <w:tcW w:w="1984" w:type="dxa"/>
          </w:tcPr>
          <w:p w14:paraId="7E6CE8B9" w14:textId="77777777" w:rsidR="00520913" w:rsidRDefault="00520913" w:rsidP="00520913">
            <w:pPr>
              <w:jc w:val="center"/>
            </w:pPr>
          </w:p>
        </w:tc>
      </w:tr>
      <w:tr w:rsidR="00520913" w14:paraId="31371718" w14:textId="77777777" w:rsidTr="00A21F9B">
        <w:tc>
          <w:tcPr>
            <w:tcW w:w="846" w:type="dxa"/>
          </w:tcPr>
          <w:p w14:paraId="45DA79E5" w14:textId="5D36FDAB" w:rsidR="00520913" w:rsidRDefault="00B41227" w:rsidP="00520913">
            <w:pPr>
              <w:jc w:val="both"/>
            </w:pPr>
            <w:r>
              <w:t>4.</w:t>
            </w:r>
          </w:p>
        </w:tc>
        <w:tc>
          <w:tcPr>
            <w:tcW w:w="4394" w:type="dxa"/>
          </w:tcPr>
          <w:p w14:paraId="1427DD4E" w14:textId="64B4E04D" w:rsidR="0030759B" w:rsidRDefault="00683B1E" w:rsidP="0030759B">
            <w:pPr>
              <w:widowControl w:val="0"/>
              <w:ind w:firstLine="720"/>
              <w:rPr>
                <w:bCs/>
                <w:szCs w:val="24"/>
              </w:rPr>
            </w:pPr>
            <w:r>
              <w:rPr>
                <w:bCs/>
                <w:szCs w:val="24"/>
              </w:rPr>
              <w:t>30</w:t>
            </w:r>
            <w:r w:rsidR="0030759B">
              <w:rPr>
                <w:bCs/>
                <w:szCs w:val="24"/>
              </w:rPr>
              <w:t>.3. Bendruomenė ir liturgija.</w:t>
            </w:r>
          </w:p>
          <w:p w14:paraId="64515D05" w14:textId="4EE9BF8B" w:rsidR="00520913" w:rsidRDefault="00683B1E" w:rsidP="0030759B">
            <w:pPr>
              <w:widowControl w:val="0"/>
              <w:jc w:val="both"/>
              <w:rPr>
                <w:lang w:eastAsia="en-US"/>
              </w:rPr>
            </w:pPr>
            <w:r>
              <w:rPr>
                <w:bCs/>
                <w:color w:val="000000"/>
                <w:szCs w:val="24"/>
                <w:lang w:eastAsia="ar-SA"/>
              </w:rPr>
              <w:t>30</w:t>
            </w:r>
            <w:r w:rsidR="0030759B">
              <w:rPr>
                <w:bCs/>
                <w:color w:val="000000"/>
                <w:szCs w:val="24"/>
                <w:lang w:eastAsia="ar-SA"/>
              </w:rPr>
              <w:t>.3.1. Pasirengimas liturgijai.</w:t>
            </w:r>
          </w:p>
        </w:tc>
        <w:tc>
          <w:tcPr>
            <w:tcW w:w="1984" w:type="dxa"/>
          </w:tcPr>
          <w:p w14:paraId="206A6DD2" w14:textId="77777777" w:rsidR="003E3776" w:rsidRDefault="003E3776" w:rsidP="00520913">
            <w:pPr>
              <w:jc w:val="center"/>
            </w:pPr>
          </w:p>
          <w:p w14:paraId="2E03E56F" w14:textId="5E92B41B" w:rsidR="00520913" w:rsidRPr="003E3776" w:rsidRDefault="0030759B" w:rsidP="003E3776">
            <w:pPr>
              <w:jc w:val="center"/>
            </w:pPr>
            <w:r>
              <w:t>6</w:t>
            </w:r>
          </w:p>
        </w:tc>
        <w:tc>
          <w:tcPr>
            <w:tcW w:w="1984" w:type="dxa"/>
          </w:tcPr>
          <w:p w14:paraId="6685AC7D" w14:textId="77777777" w:rsidR="00520913" w:rsidRDefault="00520913" w:rsidP="00520913">
            <w:pPr>
              <w:jc w:val="center"/>
            </w:pPr>
          </w:p>
        </w:tc>
      </w:tr>
      <w:tr w:rsidR="00520913" w14:paraId="2ECA438B" w14:textId="77777777" w:rsidTr="00A21F9B">
        <w:tc>
          <w:tcPr>
            <w:tcW w:w="846" w:type="dxa"/>
          </w:tcPr>
          <w:p w14:paraId="297DCBD6" w14:textId="1D0B0634" w:rsidR="00520913" w:rsidRDefault="00B41227" w:rsidP="00520913">
            <w:pPr>
              <w:jc w:val="both"/>
            </w:pPr>
            <w:r>
              <w:t>5.</w:t>
            </w:r>
          </w:p>
        </w:tc>
        <w:tc>
          <w:tcPr>
            <w:tcW w:w="4394" w:type="dxa"/>
          </w:tcPr>
          <w:p w14:paraId="4EE71C7A" w14:textId="7D8EAF1A" w:rsidR="0030759B" w:rsidRDefault="00683B1E" w:rsidP="0030759B">
            <w:pPr>
              <w:widowControl w:val="0"/>
              <w:ind w:firstLine="720"/>
              <w:jc w:val="both"/>
              <w:rPr>
                <w:bCs/>
                <w:color w:val="000000"/>
                <w:szCs w:val="24"/>
                <w:lang w:eastAsia="ar-SA"/>
              </w:rPr>
            </w:pPr>
            <w:r>
              <w:rPr>
                <w:bCs/>
                <w:color w:val="000000"/>
                <w:szCs w:val="24"/>
                <w:lang w:eastAsia="ar-SA"/>
              </w:rPr>
              <w:t>30</w:t>
            </w:r>
            <w:r w:rsidR="0030759B">
              <w:rPr>
                <w:bCs/>
                <w:color w:val="000000"/>
                <w:szCs w:val="24"/>
                <w:lang w:eastAsia="ar-SA"/>
              </w:rPr>
              <w:t>.4. </w:t>
            </w:r>
            <w:r w:rsidR="0030759B">
              <w:rPr>
                <w:bCs/>
                <w:szCs w:val="24"/>
                <w:lang w:val="fr-FR"/>
              </w:rPr>
              <w:t>Moralė ir etika</w:t>
            </w:r>
            <w:r w:rsidR="0030759B">
              <w:rPr>
                <w:bCs/>
                <w:color w:val="000000"/>
                <w:szCs w:val="24"/>
                <w:lang w:eastAsia="ar-SA"/>
              </w:rPr>
              <w:t>.</w:t>
            </w:r>
          </w:p>
          <w:p w14:paraId="0ABB01AB" w14:textId="6F30CDAC" w:rsidR="00520913" w:rsidRDefault="00683B1E" w:rsidP="0030759B">
            <w:pPr>
              <w:widowControl w:val="0"/>
              <w:ind w:hanging="109"/>
              <w:jc w:val="both"/>
              <w:rPr>
                <w:b/>
                <w:color w:val="000000"/>
                <w:lang w:eastAsia="en-US"/>
              </w:rPr>
            </w:pPr>
            <w:r>
              <w:rPr>
                <w:bCs/>
                <w:color w:val="000000"/>
                <w:szCs w:val="24"/>
                <w:lang w:eastAsia="ar-SA"/>
              </w:rPr>
              <w:t>30</w:t>
            </w:r>
            <w:r w:rsidR="0030759B">
              <w:rPr>
                <w:bCs/>
                <w:color w:val="000000"/>
                <w:szCs w:val="24"/>
                <w:lang w:eastAsia="ar-SA"/>
              </w:rPr>
              <w:t>.4.1. Moralinės nuostatos.</w:t>
            </w:r>
          </w:p>
        </w:tc>
        <w:tc>
          <w:tcPr>
            <w:tcW w:w="1984" w:type="dxa"/>
          </w:tcPr>
          <w:p w14:paraId="433BC2BB" w14:textId="255207A4" w:rsidR="00520913" w:rsidRDefault="0030759B" w:rsidP="00520913">
            <w:pPr>
              <w:jc w:val="center"/>
            </w:pPr>
            <w:r>
              <w:t>6</w:t>
            </w:r>
          </w:p>
        </w:tc>
        <w:tc>
          <w:tcPr>
            <w:tcW w:w="1984" w:type="dxa"/>
          </w:tcPr>
          <w:p w14:paraId="66AA4FF4" w14:textId="77777777" w:rsidR="00520913" w:rsidRDefault="00520913" w:rsidP="00520913">
            <w:pPr>
              <w:jc w:val="center"/>
            </w:pPr>
          </w:p>
        </w:tc>
      </w:tr>
      <w:tr w:rsidR="00520913" w14:paraId="58824E57" w14:textId="77777777" w:rsidTr="00A21F9B">
        <w:tc>
          <w:tcPr>
            <w:tcW w:w="846" w:type="dxa"/>
          </w:tcPr>
          <w:p w14:paraId="7338B26E" w14:textId="662AC2EF" w:rsidR="00520913" w:rsidRDefault="001721E7" w:rsidP="00520913">
            <w:pPr>
              <w:jc w:val="both"/>
            </w:pPr>
            <w:r>
              <w:t>6</w:t>
            </w:r>
            <w:r w:rsidR="00B41227">
              <w:t>.</w:t>
            </w:r>
          </w:p>
        </w:tc>
        <w:tc>
          <w:tcPr>
            <w:tcW w:w="4394" w:type="dxa"/>
          </w:tcPr>
          <w:p w14:paraId="61221813" w14:textId="77777777" w:rsidR="00520913" w:rsidRDefault="00520913" w:rsidP="00520913">
            <w:pPr>
              <w:pStyle w:val="ListParagraph"/>
              <w:ind w:left="0" w:firstLine="0"/>
            </w:pPr>
            <w:r>
              <w:t>Ko išmokau per šiuos metus? Refleksija ir įsivertinimas</w:t>
            </w:r>
          </w:p>
        </w:tc>
        <w:tc>
          <w:tcPr>
            <w:tcW w:w="1984" w:type="dxa"/>
          </w:tcPr>
          <w:p w14:paraId="74028351" w14:textId="77777777" w:rsidR="00520913" w:rsidRDefault="003E3776" w:rsidP="00520913">
            <w:pPr>
              <w:jc w:val="center"/>
            </w:pPr>
            <w:r>
              <w:t>1</w:t>
            </w:r>
          </w:p>
        </w:tc>
        <w:tc>
          <w:tcPr>
            <w:tcW w:w="1984" w:type="dxa"/>
          </w:tcPr>
          <w:p w14:paraId="1F74A247" w14:textId="77777777" w:rsidR="00520913" w:rsidRDefault="00520913" w:rsidP="00520913">
            <w:pPr>
              <w:jc w:val="center"/>
            </w:pPr>
          </w:p>
        </w:tc>
      </w:tr>
      <w:tr w:rsidR="00CE174B" w14:paraId="5789EB61" w14:textId="77777777" w:rsidTr="00A21F9B">
        <w:tc>
          <w:tcPr>
            <w:tcW w:w="846" w:type="dxa"/>
          </w:tcPr>
          <w:p w14:paraId="763DB811" w14:textId="661AE50A" w:rsidR="00CE174B" w:rsidRDefault="001721E7" w:rsidP="00520913">
            <w:pPr>
              <w:jc w:val="both"/>
            </w:pPr>
            <w:r>
              <w:t>7</w:t>
            </w:r>
            <w:r w:rsidR="00CE174B">
              <w:t>.</w:t>
            </w:r>
          </w:p>
        </w:tc>
        <w:tc>
          <w:tcPr>
            <w:tcW w:w="4394" w:type="dxa"/>
          </w:tcPr>
          <w:p w14:paraId="38CB5DB6" w14:textId="6F76E4E5" w:rsidR="00CE174B" w:rsidRDefault="00CE174B" w:rsidP="00520913">
            <w:pPr>
              <w:pStyle w:val="ListParagraph"/>
              <w:ind w:left="0" w:firstLine="0"/>
            </w:pPr>
            <w:r>
              <w:t>Rezervinis laikas (atsiskaitymas)</w:t>
            </w:r>
          </w:p>
        </w:tc>
        <w:tc>
          <w:tcPr>
            <w:tcW w:w="1984" w:type="dxa"/>
          </w:tcPr>
          <w:p w14:paraId="6CD6DA91" w14:textId="3F382312" w:rsidR="00CE174B" w:rsidRDefault="00CE174B" w:rsidP="00520913">
            <w:pPr>
              <w:jc w:val="center"/>
            </w:pPr>
            <w:r>
              <w:t>3</w:t>
            </w:r>
          </w:p>
        </w:tc>
        <w:tc>
          <w:tcPr>
            <w:tcW w:w="1984" w:type="dxa"/>
          </w:tcPr>
          <w:p w14:paraId="098BE983" w14:textId="77777777" w:rsidR="00CE174B" w:rsidRDefault="00CE174B" w:rsidP="00520913">
            <w:pPr>
              <w:jc w:val="center"/>
            </w:pPr>
          </w:p>
        </w:tc>
      </w:tr>
    </w:tbl>
    <w:p w14:paraId="1A044390" w14:textId="77777777" w:rsidR="00520913" w:rsidRDefault="00520913"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D0839"/>
    <w:rsid w:val="001343FA"/>
    <w:rsid w:val="001721E7"/>
    <w:rsid w:val="002146DC"/>
    <w:rsid w:val="0030759B"/>
    <w:rsid w:val="003E3776"/>
    <w:rsid w:val="00520913"/>
    <w:rsid w:val="00525FE0"/>
    <w:rsid w:val="00546379"/>
    <w:rsid w:val="006765E1"/>
    <w:rsid w:val="00683B1E"/>
    <w:rsid w:val="006861C0"/>
    <w:rsid w:val="00712086"/>
    <w:rsid w:val="007A78D0"/>
    <w:rsid w:val="007F555A"/>
    <w:rsid w:val="008F5765"/>
    <w:rsid w:val="009E2474"/>
    <w:rsid w:val="00AA67E0"/>
    <w:rsid w:val="00B41227"/>
    <w:rsid w:val="00CE174B"/>
    <w:rsid w:val="00EC0027"/>
    <w:rsid w:val="00F43E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85085">
      <w:bodyDiv w:val="1"/>
      <w:marLeft w:val="0"/>
      <w:marRight w:val="0"/>
      <w:marTop w:val="0"/>
      <w:marBottom w:val="0"/>
      <w:divBdr>
        <w:top w:val="none" w:sz="0" w:space="0" w:color="auto"/>
        <w:left w:val="none" w:sz="0" w:space="0" w:color="auto"/>
        <w:bottom w:val="none" w:sz="0" w:space="0" w:color="auto"/>
        <w:right w:val="none" w:sz="0" w:space="0" w:color="auto"/>
      </w:divBdr>
    </w:div>
    <w:div w:id="839464233">
      <w:bodyDiv w:val="1"/>
      <w:marLeft w:val="0"/>
      <w:marRight w:val="0"/>
      <w:marTop w:val="0"/>
      <w:marBottom w:val="0"/>
      <w:divBdr>
        <w:top w:val="none" w:sz="0" w:space="0" w:color="auto"/>
        <w:left w:val="none" w:sz="0" w:space="0" w:color="auto"/>
        <w:bottom w:val="none" w:sz="0" w:space="0" w:color="auto"/>
        <w:right w:val="none" w:sz="0" w:space="0" w:color="auto"/>
      </w:divBdr>
    </w:div>
    <w:div w:id="881207695">
      <w:bodyDiv w:val="1"/>
      <w:marLeft w:val="0"/>
      <w:marRight w:val="0"/>
      <w:marTop w:val="0"/>
      <w:marBottom w:val="0"/>
      <w:divBdr>
        <w:top w:val="none" w:sz="0" w:space="0" w:color="auto"/>
        <w:left w:val="none" w:sz="0" w:space="0" w:color="auto"/>
        <w:bottom w:val="none" w:sz="0" w:space="0" w:color="auto"/>
        <w:right w:val="none" w:sz="0" w:space="0" w:color="auto"/>
      </w:divBdr>
    </w:div>
    <w:div w:id="1463965092">
      <w:bodyDiv w:val="1"/>
      <w:marLeft w:val="0"/>
      <w:marRight w:val="0"/>
      <w:marTop w:val="0"/>
      <w:marBottom w:val="0"/>
      <w:divBdr>
        <w:top w:val="none" w:sz="0" w:space="0" w:color="auto"/>
        <w:left w:val="none" w:sz="0" w:space="0" w:color="auto"/>
        <w:bottom w:val="none" w:sz="0" w:space="0" w:color="auto"/>
        <w:right w:val="none" w:sz="0" w:space="0" w:color="auto"/>
      </w:divBdr>
    </w:div>
    <w:div w:id="1686245722">
      <w:bodyDiv w:val="1"/>
      <w:marLeft w:val="0"/>
      <w:marRight w:val="0"/>
      <w:marTop w:val="0"/>
      <w:marBottom w:val="0"/>
      <w:divBdr>
        <w:top w:val="none" w:sz="0" w:space="0" w:color="auto"/>
        <w:left w:val="none" w:sz="0" w:space="0" w:color="auto"/>
        <w:bottom w:val="none" w:sz="0" w:space="0" w:color="auto"/>
        <w:right w:val="none" w:sz="0" w:space="0" w:color="auto"/>
      </w:divBdr>
    </w:div>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8bc9f2b8-5661-4b24-8449-e661c9275b53%7d&amp;action=view&amp;wd=target%281.%20Naujo%20turinio%20mokymo%20rekomendacijos.one%7Cec9c6c88-2e84-4c5e-95cf-fd476fba21e6%2FNaujoji%20programa%7C0b5b7332-33a4-4200-9527-15f07a919d12%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agrindinis-ugdymas/53?st=2"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A4E1B-32A7-4112-9630-4CDE932C3D11}">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d2a18c2-06d4-44cd-af38-3237b532008a"/>
    <ds:schemaRef ds:uri="441e4d8e-a8ab-46be-9694-e40af28e9c61"/>
    <ds:schemaRef ds:uri="http://www.w3.org/XML/1998/namespace"/>
  </ds:schemaRefs>
</ds:datastoreItem>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44948A16-A24A-4588-AB94-C5519CDFA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2480</Words>
  <Characters>1414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5</cp:revision>
  <dcterms:created xsi:type="dcterms:W3CDTF">2023-05-30T10:16:00Z</dcterms:created>
  <dcterms:modified xsi:type="dcterms:W3CDTF">2023-06-08T11:44:00Z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