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137"/>
        <w:gridCol w:w="3114"/>
      </w:tblGrid>
      <w:tr w:rsidR="005022DD" w:rsidTr="009972EB">
        <w:tc>
          <w:tcPr>
            <w:tcW w:w="3036" w:type="dxa"/>
          </w:tcPr>
          <w:p w:rsidR="005022DD" w:rsidRDefault="005022DD" w:rsidP="00C71B79">
            <w:pPr>
              <w:jc w:val="center"/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BC0C603" wp14:editId="1D7935FC">
                  <wp:extent cx="1025323" cy="985961"/>
                  <wp:effectExtent l="0" t="0" r="3810" b="508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02" cy="99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</w:tcPr>
          <w:p w:rsidR="005022DD" w:rsidRDefault="005022DD" w:rsidP="005022DD">
            <w:pPr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</w:pPr>
          </w:p>
          <w:p w:rsidR="005022DD" w:rsidRDefault="005022DD" w:rsidP="00C71B79">
            <w:pPr>
              <w:jc w:val="center"/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0396283" wp14:editId="74852456">
                  <wp:extent cx="1382581" cy="532737"/>
                  <wp:effectExtent l="0" t="0" r="0" b="127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kma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89" cy="53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5022DD" w:rsidRDefault="005022DD" w:rsidP="005022DD">
            <w:pPr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</w:pPr>
          </w:p>
          <w:p w:rsidR="005022DD" w:rsidRDefault="005022DD" w:rsidP="00C71B79">
            <w:pPr>
              <w:jc w:val="center"/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2CFF4E6" wp14:editId="6EF2E68E">
                  <wp:extent cx="1322013" cy="707666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19" cy="71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2DD" w:rsidRPr="009972EB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noProof/>
          <w:sz w:val="28"/>
          <w:szCs w:val="28"/>
          <w:lang w:eastAsia="lt-LT"/>
        </w:rPr>
      </w:pPr>
    </w:p>
    <w:p w:rsidR="005022DD" w:rsidRPr="009972EB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noProof/>
          <w:sz w:val="28"/>
          <w:szCs w:val="28"/>
          <w:lang w:eastAsia="lt-LT"/>
        </w:rPr>
      </w:pPr>
    </w:p>
    <w:p w:rsidR="005022DD" w:rsidRPr="009972EB" w:rsidRDefault="005022DD" w:rsidP="005022D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LAKMA</w:t>
      </w:r>
      <w:r w:rsidRP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9972EB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 w:rsidRPr="009972EB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="009972EB" w:rsidRP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9972EB">
        <w:rPr>
          <w:rFonts w:eastAsia="Times New Roman" w:cstheme="minorHAnsi"/>
          <w:sz w:val="24"/>
          <w:szCs w:val="24"/>
          <w:lang w:eastAsia="lt-LT"/>
        </w:rPr>
        <w:t xml:space="preserve">US </w:t>
      </w:r>
      <w:proofErr w:type="spellStart"/>
      <w:r w:rsidRPr="009972EB">
        <w:rPr>
          <w:rFonts w:eastAsia="Times New Roman" w:cstheme="minorHAnsi"/>
          <w:sz w:val="24"/>
          <w:szCs w:val="24"/>
          <w:lang w:eastAsia="lt-LT"/>
        </w:rPr>
        <w:t>Embassy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invite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teachers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a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professional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development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>
        <w:rPr>
          <w:rFonts w:eastAsia="Times New Roman" w:cstheme="minorHAnsi"/>
          <w:sz w:val="24"/>
          <w:szCs w:val="24"/>
          <w:lang w:eastAsia="lt-LT"/>
        </w:rPr>
        <w:t>with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 w:rsidRPr="009972EB">
        <w:rPr>
          <w:rFonts w:eastAsia="Times New Roman" w:cstheme="minorHAnsi"/>
          <w:b/>
          <w:bCs/>
          <w:sz w:val="28"/>
          <w:szCs w:val="28"/>
          <w:lang w:eastAsia="lt-LT"/>
        </w:rPr>
        <w:t>Cristina</w:t>
      </w:r>
      <w:proofErr w:type="spellEnd"/>
      <w:r w:rsidR="009972EB" w:rsidRPr="009972EB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="009972EB" w:rsidRPr="009972EB">
        <w:rPr>
          <w:rFonts w:eastAsia="Times New Roman" w:cstheme="minorHAnsi"/>
          <w:b/>
          <w:bCs/>
          <w:sz w:val="28"/>
          <w:szCs w:val="28"/>
          <w:lang w:eastAsia="lt-LT"/>
        </w:rPr>
        <w:t>Berry</w:t>
      </w:r>
      <w:proofErr w:type="spellEnd"/>
    </w:p>
    <w:p w:rsidR="005022DD" w:rsidRPr="005022DD" w:rsidRDefault="005022DD" w:rsidP="005022D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lt-LT"/>
        </w:rPr>
      </w:pP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Assessment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FOR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Learning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: A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course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for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teachers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of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young</w:t>
      </w:r>
      <w:proofErr w:type="spellEnd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b/>
          <w:bCs/>
          <w:sz w:val="28"/>
          <w:szCs w:val="28"/>
          <w:lang w:eastAsia="lt-LT"/>
        </w:rPr>
        <w:t>learners</w:t>
      </w:r>
      <w:proofErr w:type="spellEnd"/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</w:p>
    <w:p w:rsidR="005022DD" w:rsidRPr="005022DD" w:rsidRDefault="005022DD" w:rsidP="005022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Tar</w:t>
      </w:r>
      <w:r w:rsidR="008804B0">
        <w:rPr>
          <w:rFonts w:eastAsia="Times New Roman" w:cstheme="minorHAnsi"/>
          <w:sz w:val="24"/>
          <w:szCs w:val="24"/>
          <w:lang w:eastAsia="lt-LT"/>
        </w:rPr>
        <w:t>get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8804B0">
        <w:rPr>
          <w:rFonts w:eastAsia="Times New Roman" w:cstheme="minorHAnsi"/>
          <w:sz w:val="24"/>
          <w:szCs w:val="24"/>
          <w:lang w:eastAsia="lt-LT"/>
        </w:rPr>
        <w:t>group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: </w:t>
      </w:r>
      <w:proofErr w:type="spellStart"/>
      <w:r w:rsidR="008804B0">
        <w:rPr>
          <w:rFonts w:eastAsia="Times New Roman" w:cstheme="minorHAnsi"/>
          <w:sz w:val="24"/>
          <w:szCs w:val="24"/>
          <w:lang w:eastAsia="lt-LT"/>
        </w:rPr>
        <w:t>teachers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8804B0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8804B0">
        <w:rPr>
          <w:rFonts w:eastAsia="Times New Roman" w:cstheme="minorHAnsi"/>
          <w:sz w:val="24"/>
          <w:szCs w:val="24"/>
          <w:lang w:eastAsia="lt-LT"/>
        </w:rPr>
        <w:t>grades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 2–</w:t>
      </w:r>
      <w:r w:rsidR="005E0C1F">
        <w:rPr>
          <w:rFonts w:eastAsia="Times New Roman" w:cstheme="minorHAnsi"/>
          <w:sz w:val="24"/>
          <w:szCs w:val="24"/>
          <w:lang w:eastAsia="lt-LT"/>
        </w:rPr>
        <w:t>6</w:t>
      </w:r>
      <w:r w:rsidRPr="005022DD">
        <w:rPr>
          <w:rFonts w:eastAsia="Times New Roman" w:cstheme="minorHAnsi"/>
          <w:sz w:val="24"/>
          <w:szCs w:val="24"/>
          <w:lang w:eastAsia="lt-LT"/>
        </w:rPr>
        <w:t xml:space="preserve">. </w:t>
      </w:r>
    </w:p>
    <w:p w:rsidR="005022DD" w:rsidRPr="005022DD" w:rsidRDefault="005022DD" w:rsidP="005022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</w:p>
    <w:p w:rsidR="005022DD" w:rsidRPr="005022DD" w:rsidRDefault="005022DD" w:rsidP="005022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Today’s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educators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have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8804B0">
        <w:rPr>
          <w:rFonts w:eastAsia="Times New Roman" w:cstheme="minorHAnsi"/>
          <w:sz w:val="24"/>
          <w:szCs w:val="24"/>
          <w:lang w:eastAsia="lt-LT"/>
        </w:rPr>
        <w:t>grand</w:t>
      </w:r>
      <w:proofErr w:type="spellEnd"/>
      <w:r w:rsidR="008804B0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responsibility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teaching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far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more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than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subject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content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.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prepare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students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life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, it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imperative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that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teachers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focus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skills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such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creativity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critical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thinking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problem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solving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collaboration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order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develop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skills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educators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should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change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focus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from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achieving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grades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valuing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learning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process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through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reflection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goal-setting.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This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will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help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teachers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use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formative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diagnostically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 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create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a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student-centered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classroom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.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73241">
        <w:rPr>
          <w:rFonts w:eastAsia="Times New Roman" w:cstheme="minorHAnsi"/>
          <w:sz w:val="24"/>
          <w:szCs w:val="24"/>
          <w:lang w:eastAsia="lt-LT"/>
        </w:rPr>
        <w:t>is</w:t>
      </w:r>
      <w:proofErr w:type="spellEnd"/>
      <w:r w:rsidR="00973241">
        <w:rPr>
          <w:rFonts w:eastAsia="Times New Roman" w:cstheme="minorHAnsi"/>
          <w:sz w:val="24"/>
          <w:szCs w:val="24"/>
          <w:lang w:eastAsia="lt-LT"/>
        </w:rPr>
        <w:t xml:space="preserve"> 22 </w:t>
      </w:r>
      <w:proofErr w:type="spellStart"/>
      <w:r w:rsidR="00973241">
        <w:rPr>
          <w:rFonts w:eastAsia="Times New Roman" w:cstheme="minorHAnsi"/>
          <w:sz w:val="24"/>
          <w:szCs w:val="24"/>
          <w:lang w:eastAsia="lt-LT"/>
        </w:rPr>
        <w:t>acad</w:t>
      </w:r>
      <w:r w:rsidR="0023097A">
        <w:rPr>
          <w:rFonts w:eastAsia="Times New Roman" w:cstheme="minorHAnsi"/>
          <w:sz w:val="24"/>
          <w:szCs w:val="24"/>
          <w:lang w:eastAsia="lt-LT"/>
        </w:rPr>
        <w:t>emic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hours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long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consists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three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parts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: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>Part</w:t>
      </w:r>
      <w:proofErr w:type="spellEnd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1. 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Introductory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>
        <w:rPr>
          <w:rFonts w:eastAsia="Times New Roman" w:cstheme="minorHAnsi"/>
          <w:sz w:val="24"/>
          <w:szCs w:val="24"/>
          <w:lang w:eastAsia="lt-LT"/>
        </w:rPr>
        <w:t>workshop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="009972EB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>
        <w:rPr>
          <w:rFonts w:eastAsia="Times New Roman" w:cstheme="minorHAnsi"/>
          <w:sz w:val="24"/>
          <w:szCs w:val="24"/>
          <w:lang w:eastAsia="lt-LT"/>
        </w:rPr>
        <w:t>participants</w:t>
      </w:r>
      <w:proofErr w:type="spellEnd"/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972EB">
        <w:rPr>
          <w:rFonts w:eastAsia="Times New Roman" w:cstheme="minorHAnsi"/>
          <w:sz w:val="24"/>
          <w:szCs w:val="24"/>
          <w:lang w:eastAsia="lt-LT"/>
        </w:rPr>
        <w:t>will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revise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formative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strategies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;</w:t>
      </w:r>
      <w:r w:rsidR="009972EB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get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tools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collect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evidence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student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learning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;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learn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ways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provide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feedback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;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create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plans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learning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that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promote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student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accountability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.</w:t>
      </w:r>
      <w:r w:rsidR="005E0C1F">
        <w:rPr>
          <w:rFonts w:eastAsia="Times New Roman" w:cstheme="minorHAnsi"/>
          <w:sz w:val="24"/>
          <w:szCs w:val="24"/>
          <w:lang w:eastAsia="lt-LT"/>
        </w:rPr>
        <w:t xml:space="preserve"> (8</w:t>
      </w:r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acad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hours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>).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>Part</w:t>
      </w:r>
      <w:proofErr w:type="spellEnd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2</w:t>
      </w:r>
      <w:r w:rsidRPr="005022DD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Online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communication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with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instructor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through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online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platform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reflect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techniques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which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te</w:t>
      </w:r>
      <w:r w:rsidR="0023097A">
        <w:rPr>
          <w:rFonts w:eastAsia="Times New Roman" w:cstheme="minorHAnsi"/>
          <w:sz w:val="24"/>
          <w:szCs w:val="24"/>
          <w:lang w:eastAsia="lt-LT"/>
        </w:rPr>
        <w:t>achers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try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out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classroom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(8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acad</w:t>
      </w:r>
      <w:proofErr w:type="spellEnd"/>
      <w:r w:rsidR="00973241">
        <w:rPr>
          <w:rFonts w:eastAsia="Times New Roman" w:cstheme="minorHAnsi"/>
          <w:sz w:val="24"/>
          <w:szCs w:val="24"/>
          <w:lang w:eastAsia="lt-LT"/>
        </w:rPr>
        <w:t>.</w:t>
      </w:r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hours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>).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>Part</w:t>
      </w:r>
      <w:proofErr w:type="spellEnd"/>
      <w:r w:rsidRPr="005022DD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3. 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Closing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workshop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.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Reflection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what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participants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have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learned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have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implemented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formati</w:t>
      </w:r>
      <w:r w:rsidR="0023097A">
        <w:rPr>
          <w:rFonts w:eastAsia="Times New Roman" w:cstheme="minorHAnsi"/>
          <w:sz w:val="24"/>
          <w:szCs w:val="24"/>
          <w:lang w:eastAsia="lt-LT"/>
        </w:rPr>
        <w:t>ve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classroom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(6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acad</w:t>
      </w:r>
      <w:proofErr w:type="spellEnd"/>
      <w:r w:rsidR="00973241">
        <w:rPr>
          <w:rFonts w:eastAsia="Times New Roman" w:cstheme="minorHAnsi"/>
          <w:sz w:val="24"/>
          <w:szCs w:val="24"/>
          <w:lang w:eastAsia="lt-LT"/>
        </w:rPr>
        <w:t>.</w:t>
      </w:r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hours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>).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Dates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: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Part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1 -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Introductory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workshop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, </w:t>
      </w:r>
      <w:proofErr w:type="spellStart"/>
      <w:r w:rsidR="005E0C1F">
        <w:rPr>
          <w:rFonts w:eastAsia="Times New Roman" w:cstheme="minorHAnsi"/>
          <w:b/>
          <w:bCs/>
          <w:sz w:val="24"/>
          <w:szCs w:val="24"/>
          <w:lang w:eastAsia="lt-LT"/>
        </w:rPr>
        <w:t>April</w:t>
      </w:r>
      <w:proofErr w:type="spellEnd"/>
      <w:r w:rsidR="005E0C1F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27th 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>
        <w:rPr>
          <w:rFonts w:eastAsia="Times New Roman" w:cstheme="minorHAnsi"/>
          <w:sz w:val="24"/>
          <w:szCs w:val="24"/>
          <w:lang w:eastAsia="lt-LT"/>
        </w:rPr>
        <w:t>Part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2 -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O</w:t>
      </w:r>
      <w:r w:rsidR="00973241">
        <w:rPr>
          <w:rFonts w:eastAsia="Times New Roman" w:cstheme="minorHAnsi"/>
          <w:sz w:val="24"/>
          <w:szCs w:val="24"/>
          <w:lang w:eastAsia="lt-LT"/>
        </w:rPr>
        <w:t>nline</w:t>
      </w:r>
      <w:proofErr w:type="spellEnd"/>
      <w:r w:rsidR="00973241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973241">
        <w:rPr>
          <w:rFonts w:eastAsia="Times New Roman" w:cstheme="minorHAnsi"/>
          <w:sz w:val="24"/>
          <w:szCs w:val="24"/>
          <w:lang w:eastAsia="lt-LT"/>
        </w:rPr>
        <w:t>communication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with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instructor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</w:p>
    <w:p w:rsidR="005022DD" w:rsidRPr="005022DD" w:rsidRDefault="005E0C1F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>
        <w:rPr>
          <w:rFonts w:eastAsia="Times New Roman" w:cstheme="minorHAnsi"/>
          <w:sz w:val="24"/>
          <w:szCs w:val="24"/>
          <w:lang w:eastAsia="lt-LT"/>
        </w:rPr>
        <w:t>Part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3 -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Closing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workshop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early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June</w:t>
      </w:r>
      <w:proofErr w:type="spellEnd"/>
      <w:r w:rsidR="005022DD" w:rsidRPr="005022DD">
        <w:rPr>
          <w:rFonts w:eastAsia="Times New Roman" w:cstheme="minorHAnsi"/>
          <w:sz w:val="24"/>
          <w:szCs w:val="24"/>
          <w:lang w:eastAsia="lt-LT"/>
        </w:rPr>
        <w:t xml:space="preserve"> (</w:t>
      </w:r>
      <w:proofErr w:type="spellStart"/>
      <w:r w:rsidR="005022DD" w:rsidRPr="005022DD">
        <w:rPr>
          <w:rFonts w:eastAsia="Times New Roman" w:cstheme="minorHAnsi"/>
          <w:sz w:val="24"/>
          <w:szCs w:val="24"/>
          <w:lang w:eastAsia="lt-LT"/>
        </w:rPr>
        <w:t>date</w:t>
      </w:r>
      <w:proofErr w:type="spellEnd"/>
      <w:r w:rsidR="005022DD" w:rsidRPr="005022DD">
        <w:rPr>
          <w:rFonts w:eastAsia="Times New Roman" w:cstheme="minorHAnsi"/>
          <w:sz w:val="24"/>
          <w:szCs w:val="24"/>
          <w:lang w:eastAsia="lt-LT"/>
        </w:rPr>
        <w:t xml:space="preserve"> to be </w:t>
      </w:r>
      <w:proofErr w:type="spellStart"/>
      <w:r w:rsidR="005022DD" w:rsidRPr="005022DD">
        <w:rPr>
          <w:rFonts w:eastAsia="Times New Roman" w:cstheme="minorHAnsi"/>
          <w:sz w:val="24"/>
          <w:szCs w:val="24"/>
          <w:lang w:eastAsia="lt-LT"/>
        </w:rPr>
        <w:t>confirmed</w:t>
      </w:r>
      <w:proofErr w:type="spellEnd"/>
      <w:r w:rsidR="005022DD" w:rsidRPr="005022DD">
        <w:rPr>
          <w:rFonts w:eastAsia="Times New Roman" w:cstheme="minorHAnsi"/>
          <w:sz w:val="24"/>
          <w:szCs w:val="24"/>
          <w:lang w:eastAsia="lt-LT"/>
        </w:rPr>
        <w:t>)</w:t>
      </w:r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Venue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: LEU, Studentų str. 39, Vilnius,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Room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252 (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Goethe's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Auditorium)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</w:p>
    <w:p w:rsidR="0023097A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Fee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: 25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eur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LAKMA 2018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members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/ 50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eur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for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non-members</w:t>
      </w:r>
      <w:r w:rsidR="00B56AF6">
        <w:rPr>
          <w:rFonts w:eastAsia="Times New Roman" w:cstheme="minorHAnsi"/>
          <w:sz w:val="24"/>
          <w:szCs w:val="24"/>
          <w:lang w:eastAsia="lt-LT"/>
        </w:rPr>
        <w:t>.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fee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includes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course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23097A">
        <w:rPr>
          <w:rFonts w:eastAsia="Times New Roman" w:cstheme="minorHAnsi"/>
          <w:sz w:val="24"/>
          <w:szCs w:val="24"/>
          <w:lang w:eastAsia="lt-LT"/>
        </w:rPr>
        <w:t>tuition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materials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a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certificate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M</w:t>
      </w:r>
      <w:r w:rsidR="0023097A">
        <w:rPr>
          <w:rFonts w:eastAsia="Times New Roman" w:cstheme="minorHAnsi"/>
          <w:sz w:val="24"/>
          <w:szCs w:val="24"/>
          <w:lang w:eastAsia="lt-LT"/>
        </w:rPr>
        <w:t>eals</w:t>
      </w:r>
      <w:proofErr w:type="spellEnd"/>
      <w:r w:rsidR="0023097A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travel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expenses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are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not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B56AF6">
        <w:rPr>
          <w:rFonts w:eastAsia="Times New Roman" w:cstheme="minorHAnsi"/>
          <w:sz w:val="24"/>
          <w:szCs w:val="24"/>
          <w:lang w:eastAsia="lt-LT"/>
        </w:rPr>
        <w:t>cover</w:t>
      </w:r>
      <w:r w:rsidR="001C6A48">
        <w:rPr>
          <w:rFonts w:eastAsia="Times New Roman" w:cstheme="minorHAnsi"/>
          <w:sz w:val="24"/>
          <w:szCs w:val="24"/>
          <w:lang w:eastAsia="lt-LT"/>
        </w:rPr>
        <w:t>e</w:t>
      </w:r>
      <w:r w:rsidR="00B56AF6">
        <w:rPr>
          <w:rFonts w:eastAsia="Times New Roman" w:cstheme="minorHAnsi"/>
          <w:sz w:val="24"/>
          <w:szCs w:val="24"/>
          <w:lang w:eastAsia="lt-LT"/>
        </w:rPr>
        <w:t>d</w:t>
      </w:r>
      <w:proofErr w:type="spellEnd"/>
      <w:r w:rsidR="00B56AF6">
        <w:rPr>
          <w:rFonts w:eastAsia="Times New Roman" w:cstheme="minorHAnsi"/>
          <w:sz w:val="24"/>
          <w:szCs w:val="24"/>
          <w:lang w:eastAsia="lt-LT"/>
        </w:rPr>
        <w:t xml:space="preserve">. </w:t>
      </w:r>
    </w:p>
    <w:p w:rsidR="005022DD" w:rsidRP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Payment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: LAKMA SEB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bank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account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LT977044060004578304</w:t>
      </w:r>
    </w:p>
    <w:p w:rsid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Registration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payment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by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proofErr w:type="spellStart"/>
      <w:r w:rsidR="005E0C1F">
        <w:rPr>
          <w:rFonts w:eastAsia="Times New Roman" w:cstheme="minorHAnsi"/>
          <w:b/>
          <w:bCs/>
          <w:sz w:val="24"/>
          <w:szCs w:val="24"/>
          <w:lang w:eastAsia="lt-LT"/>
        </w:rPr>
        <w:t>April</w:t>
      </w:r>
      <w:proofErr w:type="spellEnd"/>
      <w:r w:rsidR="005E0C1F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</w:t>
      </w:r>
      <w:r w:rsidR="005E0C1F" w:rsidRPr="005E0C1F">
        <w:rPr>
          <w:rFonts w:eastAsia="Times New Roman" w:cstheme="minorHAnsi"/>
          <w:b/>
          <w:bCs/>
          <w:sz w:val="24"/>
          <w:szCs w:val="24"/>
          <w:lang w:eastAsia="lt-LT"/>
        </w:rPr>
        <w:t>23rd</w:t>
      </w:r>
      <w:r w:rsidR="009972EB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Online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registration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hyperlink r:id="rId9" w:history="1">
        <w:r w:rsidRPr="00130A00">
          <w:rPr>
            <w:rStyle w:val="Hipersaitas"/>
            <w:rFonts w:eastAsia="Times New Roman" w:cstheme="minorHAnsi"/>
            <w:sz w:val="24"/>
            <w:szCs w:val="24"/>
            <w:lang w:eastAsia="lt-LT"/>
          </w:rPr>
          <w:t>www.lakmaonline.lt</w:t>
        </w:r>
      </w:hyperlink>
    </w:p>
    <w:p w:rsidR="005022DD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Contact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022DD">
        <w:rPr>
          <w:rFonts w:eastAsia="Times New Roman" w:cstheme="minorHAnsi"/>
          <w:sz w:val="24"/>
          <w:szCs w:val="24"/>
          <w:lang w:eastAsia="lt-LT"/>
        </w:rPr>
        <w:t>email</w:t>
      </w:r>
      <w:proofErr w:type="spellEnd"/>
      <w:r w:rsidRPr="005022DD">
        <w:rPr>
          <w:rFonts w:eastAsia="Times New Roman" w:cstheme="minorHAnsi"/>
          <w:sz w:val="24"/>
          <w:szCs w:val="24"/>
          <w:lang w:eastAsia="lt-LT"/>
        </w:rPr>
        <w:t> </w:t>
      </w:r>
      <w:hyperlink r:id="rId10" w:history="1">
        <w:r w:rsidRPr="005022DD">
          <w:rPr>
            <w:rFonts w:eastAsia="Times New Roman" w:cstheme="minorHAnsi"/>
            <w:sz w:val="24"/>
            <w:szCs w:val="24"/>
            <w:bdr w:val="none" w:sz="0" w:space="0" w:color="auto" w:frame="1"/>
            <w:lang w:eastAsia="lt-LT"/>
          </w:rPr>
          <w:t>admin@lakmaonline.lt </w:t>
        </w:r>
      </w:hyperlink>
    </w:p>
    <w:p w:rsidR="005022DD" w:rsidRPr="009972EB" w:rsidRDefault="005022DD" w:rsidP="005022DD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9972EB" w:rsidRPr="009972EB" w:rsidTr="00C71B79">
        <w:trPr>
          <w:trHeight w:val="1715"/>
        </w:trPr>
        <w:tc>
          <w:tcPr>
            <w:tcW w:w="6912" w:type="dxa"/>
          </w:tcPr>
          <w:p w:rsidR="009972EB" w:rsidRPr="009972EB" w:rsidRDefault="009972EB" w:rsidP="00C71B79">
            <w:pPr>
              <w:shd w:val="clear" w:color="auto" w:fill="FFFFFF"/>
              <w:spacing w:after="15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</w:pPr>
            <w:proofErr w:type="spellStart"/>
            <w:r w:rsidRPr="005022D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lt-LT"/>
              </w:rPr>
              <w:t>Cristina</w:t>
            </w:r>
            <w:proofErr w:type="spellEnd"/>
            <w:r w:rsidRPr="005022D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lt-LT"/>
              </w:rPr>
              <w:t>Berry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 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is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educator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from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USA</w:t>
            </w:r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.  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She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was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elementary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school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teacher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for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thirteen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years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and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has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first-hand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experience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using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and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understanding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power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of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formative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assessment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in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the</w:t>
            </w:r>
            <w:proofErr w:type="spellEnd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classroom</w:t>
            </w:r>
            <w:proofErr w:type="spellEnd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Cristina</w:t>
            </w:r>
            <w:proofErr w:type="spellEnd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2EB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currently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works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in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Vilnius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participant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of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U.S.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State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Department’s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English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Language</w:t>
            </w:r>
            <w:proofErr w:type="spellEnd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022DD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Fe</w:t>
            </w:r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llows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cultural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exchange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program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and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collaborates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with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specialists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at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the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Lithuanian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Ministry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of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Education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and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Science</w:t>
            </w:r>
            <w:proofErr w:type="spellEnd"/>
            <w:r w:rsidR="00C71B79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</w:tcPr>
          <w:p w:rsidR="009972EB" w:rsidRPr="009972EB" w:rsidRDefault="009972EB" w:rsidP="009972EB">
            <w:pPr>
              <w:spacing w:after="150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9972EB">
              <w:rPr>
                <w:i/>
                <w:iCs/>
                <w:noProof/>
                <w:lang w:eastAsia="lt-LT"/>
              </w:rPr>
              <w:drawing>
                <wp:inline distT="0" distB="0" distL="0" distR="0" wp14:anchorId="12858800" wp14:editId="27BF30C2">
                  <wp:extent cx="1192695" cy="1192695"/>
                  <wp:effectExtent l="0" t="0" r="7620" b="7620"/>
                  <wp:docPr id="8" name="Paveikslėlis 8" descr="http://www.lakmaonline.lt/images/cristina-berry--kvadr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kmaonline.lt/images/cristina-berry--kvadr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87" cy="11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633" w:rsidRDefault="007D3633" w:rsidP="009972E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CC503E" w:rsidRPr="00DD7F4D" w:rsidRDefault="005E0C1F" w:rsidP="00CC503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lt-LT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>April</w:t>
      </w:r>
      <w:proofErr w:type="spellEnd"/>
      <w:r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 xml:space="preserve"> 27th</w:t>
      </w:r>
      <w:r w:rsidR="00E322BA"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 xml:space="preserve"> –</w:t>
      </w:r>
      <w:proofErr w:type="spellStart"/>
      <w:r w:rsidR="00CC503E" w:rsidRPr="00E322BA"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>Introductory</w:t>
      </w:r>
      <w:proofErr w:type="spellEnd"/>
      <w:r w:rsidR="00CC503E" w:rsidRPr="00E322BA"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 xml:space="preserve"> </w:t>
      </w:r>
      <w:proofErr w:type="spellStart"/>
      <w:r w:rsidR="00CC503E" w:rsidRPr="00E322BA">
        <w:rPr>
          <w:rFonts w:eastAsia="Times New Roman" w:cstheme="minorHAnsi"/>
          <w:b/>
          <w:bCs/>
          <w:sz w:val="24"/>
          <w:szCs w:val="24"/>
          <w:highlight w:val="yellow"/>
          <w:lang w:eastAsia="lt-LT"/>
        </w:rPr>
        <w:t>workshop</w:t>
      </w:r>
      <w:proofErr w:type="spellEnd"/>
    </w:p>
    <w:p w:rsidR="00CC503E" w:rsidRPr="00CC503E" w:rsidRDefault="00E322BA" w:rsidP="00CC50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lt-LT"/>
        </w:rPr>
      </w:pPr>
      <w:proofErr w:type="spellStart"/>
      <w:r>
        <w:rPr>
          <w:rFonts w:eastAsia="Times New Roman" w:cstheme="minorHAnsi"/>
          <w:sz w:val="24"/>
          <w:szCs w:val="24"/>
          <w:lang w:eastAsia="lt-LT"/>
        </w:rPr>
        <w:t>During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each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se</w:t>
      </w:r>
      <w:r>
        <w:rPr>
          <w:rFonts w:eastAsia="Times New Roman" w:cstheme="minorHAnsi"/>
          <w:sz w:val="24"/>
          <w:szCs w:val="24"/>
          <w:lang w:eastAsia="lt-LT"/>
        </w:rPr>
        <w:t>ssion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>,</w:t>
      </w:r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attendees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will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participate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hands-on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formative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assessment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activities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that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can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r>
        <w:rPr>
          <w:rFonts w:eastAsia="Times New Roman" w:cstheme="minorHAnsi"/>
          <w:sz w:val="24"/>
          <w:szCs w:val="24"/>
          <w:lang w:eastAsia="lt-LT"/>
        </w:rPr>
        <w:t xml:space="preserve">be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taken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back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classroom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including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group</w:t>
      </w:r>
      <w:proofErr w:type="spellEnd"/>
      <w:r>
        <w:rPr>
          <w:rFonts w:eastAsia="Times New Roman" w:cstheme="minorHAnsi"/>
          <w:sz w:val="24"/>
          <w:szCs w:val="24"/>
          <w:lang w:eastAsia="lt-LT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lt-LT"/>
        </w:rPr>
        <w:t>pair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discussion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playing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games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completing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short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projects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Yes</w:t>
      </w:r>
      <w:proofErr w:type="spellEnd"/>
      <w:r w:rsidR="00CC503E" w:rsidRPr="00CC503E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="00CC503E" w:rsidRPr="00CC503E">
        <w:rPr>
          <w:rFonts w:eastAsia="Times New Roman" w:cstheme="minorHAnsi"/>
          <w:sz w:val="24"/>
          <w:szCs w:val="24"/>
          <w:lang w:eastAsia="lt-LT"/>
        </w:rPr>
        <w:t>assessmen</w:t>
      </w:r>
      <w:r w:rsidR="00CC503E">
        <w:rPr>
          <w:rFonts w:eastAsia="Times New Roman" w:cstheme="minorHAnsi"/>
          <w:sz w:val="24"/>
          <w:szCs w:val="24"/>
          <w:lang w:eastAsia="lt-LT"/>
        </w:rPr>
        <w:t>t</w:t>
      </w:r>
      <w:proofErr w:type="spellEnd"/>
      <w:r w:rsid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>
        <w:rPr>
          <w:rFonts w:eastAsia="Times New Roman" w:cstheme="minorHAnsi"/>
          <w:sz w:val="24"/>
          <w:szCs w:val="24"/>
          <w:lang w:eastAsia="lt-LT"/>
        </w:rPr>
        <w:t>can</w:t>
      </w:r>
      <w:proofErr w:type="spellEnd"/>
      <w:r w:rsidR="00CC503E">
        <w:rPr>
          <w:rFonts w:eastAsia="Times New Roman" w:cstheme="minorHAnsi"/>
          <w:sz w:val="24"/>
          <w:szCs w:val="24"/>
          <w:lang w:eastAsia="lt-LT"/>
        </w:rPr>
        <w:t xml:space="preserve"> be </w:t>
      </w:r>
      <w:proofErr w:type="spellStart"/>
      <w:r w:rsidR="00CC503E">
        <w:rPr>
          <w:rFonts w:eastAsia="Times New Roman" w:cstheme="minorHAnsi"/>
          <w:sz w:val="24"/>
          <w:szCs w:val="24"/>
          <w:lang w:eastAsia="lt-LT"/>
        </w:rPr>
        <w:t>interactive</w:t>
      </w:r>
      <w:proofErr w:type="spellEnd"/>
      <w:r w:rsid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="00CC503E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="00CC503E">
        <w:rPr>
          <w:rFonts w:eastAsia="Times New Roman" w:cstheme="minorHAnsi"/>
          <w:sz w:val="24"/>
          <w:szCs w:val="24"/>
          <w:lang w:eastAsia="lt-LT"/>
        </w:rPr>
        <w:t>fun</w:t>
      </w:r>
      <w:proofErr w:type="spellEnd"/>
      <w:r w:rsidR="00CC503E">
        <w:rPr>
          <w:rFonts w:eastAsia="Times New Roman" w:cstheme="minorHAnsi"/>
          <w:sz w:val="24"/>
          <w:szCs w:val="24"/>
          <w:lang w:eastAsia="lt-LT"/>
        </w:rPr>
        <w:t>!</w:t>
      </w:r>
    </w:p>
    <w:p w:rsidR="00CC503E" w:rsidRDefault="00CC503E" w:rsidP="00CC50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lt-LT"/>
        </w:rPr>
      </w:pP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A57FAB" w:rsidTr="00E322BA">
        <w:tc>
          <w:tcPr>
            <w:tcW w:w="1526" w:type="dxa"/>
          </w:tcPr>
          <w:p w:rsidR="00A57FAB" w:rsidRDefault="005E0C1F" w:rsidP="00A57FAB">
            <w:p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Session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One</w:t>
            </w:r>
          </w:p>
          <w:p w:rsidR="00A57FAB" w:rsidRDefault="00A57FAB" w:rsidP="00CC503E">
            <w:pPr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</w:tcPr>
          <w:p w:rsidR="00A57FAB" w:rsidRPr="00DD7F4D" w:rsidRDefault="00A57FAB" w:rsidP="00A57FAB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Introduction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="00E322BA">
              <w:rPr>
                <w:rFonts w:eastAsia="Times New Roman" w:cstheme="minorHAnsi"/>
                <w:sz w:val="24"/>
                <w:szCs w:val="24"/>
                <w:lang w:eastAsia="lt-LT"/>
              </w:rPr>
              <w:t>formative</w:t>
            </w:r>
            <w:proofErr w:type="spellEnd"/>
            <w:r w:rsidR="00E322BA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22BA">
              <w:rPr>
                <w:rFonts w:eastAsia="Times New Roman" w:cstheme="minorHAnsi"/>
                <w:sz w:val="24"/>
                <w:szCs w:val="24"/>
                <w:lang w:eastAsia="lt-LT"/>
              </w:rPr>
              <w:t>a</w:t>
            </w:r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ssessment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What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is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formative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?</w:t>
            </w:r>
            <w:r w:rsidR="00E322BA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key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component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in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the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21st-century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classroom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Formal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and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informal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types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of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formative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.</w:t>
            </w:r>
          </w:p>
          <w:p w:rsidR="00A57FAB" w:rsidRPr="00A57FAB" w:rsidRDefault="00E322BA" w:rsidP="00CC503E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Tools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for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collecting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evidence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student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l</w:t>
            </w:r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earning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Formative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in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action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Discovering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resources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/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materials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that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can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used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straight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away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assess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students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A57FAB" w:rsidTr="00E322BA">
        <w:tc>
          <w:tcPr>
            <w:tcW w:w="1526" w:type="dxa"/>
          </w:tcPr>
          <w:p w:rsidR="00A57FAB" w:rsidRDefault="00A57FAB" w:rsidP="00CC503E">
            <w:pPr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</w:tcPr>
          <w:p w:rsidR="00A57FAB" w:rsidRPr="00A57FAB" w:rsidRDefault="00A57FAB" w:rsidP="00A57FAB">
            <w:pPr>
              <w:shd w:val="clear" w:color="auto" w:fill="FFFFFF"/>
              <w:spacing w:after="150"/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</w:pP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Coffee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Break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we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recommend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LEU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canteen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ground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floor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)</w:t>
            </w:r>
          </w:p>
        </w:tc>
      </w:tr>
      <w:tr w:rsidR="00A57FAB" w:rsidTr="00E322BA">
        <w:tc>
          <w:tcPr>
            <w:tcW w:w="1526" w:type="dxa"/>
          </w:tcPr>
          <w:p w:rsidR="00A57FAB" w:rsidRDefault="005E0C1F" w:rsidP="00A57FAB">
            <w:p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SessionTwo</w:t>
            </w:r>
            <w:proofErr w:type="spellEnd"/>
          </w:p>
          <w:p w:rsidR="00A57FAB" w:rsidRDefault="00A57FAB" w:rsidP="00CC503E">
            <w:pPr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</w:tcPr>
          <w:p w:rsidR="00A57FAB" w:rsidRDefault="00E322BA" w:rsidP="00A57FAB">
            <w:pPr>
              <w:pStyle w:val="Sraopastraipa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Providing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f</w:t>
            </w:r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eedback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The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power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of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feedback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Research-based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tips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for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providing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meaningful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feedback</w:t>
            </w:r>
            <w:proofErr w:type="spellEnd"/>
            <w:r w:rsidR="00A57FAB"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</w:p>
          <w:p w:rsidR="00A57FAB" w:rsidRPr="00A57FAB" w:rsidRDefault="00A57FAB" w:rsidP="00CC503E">
            <w:pPr>
              <w:pStyle w:val="Sraopastraipa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Ways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deliver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feedback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Whole-group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setting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Individual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and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small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group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conferencing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Using</w:t>
            </w:r>
            <w:proofErr w:type="spellEnd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7F4D">
              <w:rPr>
                <w:rFonts w:eastAsia="Times New Roman" w:cstheme="minorHAnsi"/>
                <w:sz w:val="24"/>
                <w:szCs w:val="24"/>
                <w:lang w:eastAsia="lt-LT"/>
              </w:rPr>
              <w:t>rubrics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.</w:t>
            </w:r>
          </w:p>
        </w:tc>
      </w:tr>
      <w:tr w:rsidR="00A57FAB" w:rsidTr="00E322BA">
        <w:tc>
          <w:tcPr>
            <w:tcW w:w="1526" w:type="dxa"/>
          </w:tcPr>
          <w:p w:rsidR="00A57FAB" w:rsidRDefault="00A57FAB" w:rsidP="00CC503E">
            <w:pPr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</w:tcPr>
          <w:p w:rsidR="00A57FAB" w:rsidRPr="00A57FAB" w:rsidRDefault="00A57FAB" w:rsidP="00A57FAB">
            <w:pPr>
              <w:shd w:val="clear" w:color="auto" w:fill="FFFFFF"/>
              <w:spacing w:after="150"/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</w:pP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Coffee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Break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we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recommend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LEU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canteen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ground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floor</w:t>
            </w:r>
            <w:proofErr w:type="spellEnd"/>
            <w:r w:rsidRPr="00CC503E"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  <w:t>)</w:t>
            </w:r>
          </w:p>
        </w:tc>
      </w:tr>
      <w:tr w:rsidR="00A57FAB" w:rsidTr="00E322BA">
        <w:tc>
          <w:tcPr>
            <w:tcW w:w="1526" w:type="dxa"/>
          </w:tcPr>
          <w:p w:rsidR="00A57FAB" w:rsidRPr="00CC503E" w:rsidRDefault="00A57FAB" w:rsidP="00A57FAB">
            <w:pPr>
              <w:shd w:val="clear" w:color="auto" w:fill="FFFFFF"/>
              <w:spacing w:after="150"/>
              <w:rPr>
                <w:rFonts w:eastAsia="Times New Roman" w:cstheme="minorHAnsi"/>
                <w:i/>
                <w:iCs/>
                <w:sz w:val="24"/>
                <w:szCs w:val="24"/>
                <w:lang w:eastAsia="lt-LT"/>
              </w:rPr>
            </w:pPr>
          </w:p>
          <w:p w:rsidR="00A57FAB" w:rsidRDefault="005E0C1F" w:rsidP="00A57FAB">
            <w:p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SessionThree</w:t>
            </w:r>
            <w:proofErr w:type="spellEnd"/>
          </w:p>
          <w:p w:rsidR="00A57FAB" w:rsidRDefault="00A57FAB" w:rsidP="00CC503E">
            <w:pPr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</w:tcPr>
          <w:p w:rsidR="00A57FAB" w:rsidRDefault="00E322BA" w:rsidP="00A57FAB">
            <w:pPr>
              <w:pStyle w:val="Sraopastraipa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Developing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plan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for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c</w:t>
            </w:r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hange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Discussing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examples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of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formative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Setting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goals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incorporate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assessment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for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learning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in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your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classroom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Developing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specific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plan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for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the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next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four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weeks</w:t>
            </w:r>
            <w:proofErr w:type="spellEnd"/>
            <w:r w:rsidR="00A57FAB"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. </w:t>
            </w:r>
          </w:p>
          <w:p w:rsidR="00A57FAB" w:rsidRPr="00A57FAB" w:rsidRDefault="00A57FAB" w:rsidP="00CC503E">
            <w:pPr>
              <w:pStyle w:val="Sraopastraipa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Learning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about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course’s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online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component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platform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used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objectives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assignments</w:t>
            </w:r>
            <w:proofErr w:type="spellEnd"/>
            <w:r w:rsidRPr="00C51B3E">
              <w:rPr>
                <w:rFonts w:eastAsia="Times New Roman" w:cstheme="minorHAnsi"/>
                <w:sz w:val="24"/>
                <w:szCs w:val="24"/>
                <w:lang w:eastAsia="lt-LT"/>
              </w:rPr>
              <w:t>).</w:t>
            </w:r>
          </w:p>
        </w:tc>
      </w:tr>
    </w:tbl>
    <w:p w:rsidR="00A57FAB" w:rsidRDefault="00A57FAB" w:rsidP="00CC50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CC503E" w:rsidRPr="00E322BA" w:rsidRDefault="00CC503E" w:rsidP="00CC503E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sz w:val="24"/>
          <w:szCs w:val="24"/>
          <w:lang w:eastAsia="lt-LT"/>
        </w:rPr>
      </w:pPr>
    </w:p>
    <w:p w:rsidR="001900CB" w:rsidRPr="00973241" w:rsidRDefault="005507C7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Lietuvos anglų kalbos mokytojų asociacija kviečia </w:t>
      </w:r>
      <w:r w:rsidR="005E0C1F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2-6 </w:t>
      </w:r>
      <w:proofErr w:type="spellStart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kl</w:t>
      </w:r>
      <w:proofErr w:type="spellEnd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.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anglų kalbos mokytojus į profesinio tobulėjimo kursą </w:t>
      </w:r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„</w:t>
      </w:r>
      <w:r w:rsidR="00EB0DFD"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Formuojamasis v</w:t>
      </w:r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ertinimas ugdymo procese</w:t>
      </w:r>
      <w:r w:rsidR="00C96950"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“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(22 akad. val.).</w:t>
      </w:r>
    </w:p>
    <w:p w:rsidR="001900CB" w:rsidRPr="00973241" w:rsidRDefault="005507C7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Lektorė – </w:t>
      </w:r>
      <w:proofErr w:type="spellStart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Cristina</w:t>
      </w:r>
      <w:proofErr w:type="spellEnd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 </w:t>
      </w:r>
      <w:proofErr w:type="spellStart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Berry</w:t>
      </w:r>
      <w:proofErr w:type="spellEnd"/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, JAV ambasados kultūrinių mainų programos daly</w:t>
      </w:r>
      <w:r w:rsidR="003B2AEF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vė, pradinio ugdymo specialistė, šiuo metu bendradarbiaujanti su Švietimo ir mokslo ministerija.</w:t>
      </w:r>
    </w:p>
    <w:p w:rsidR="001900CB" w:rsidRPr="00973241" w:rsidRDefault="00C96950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Tikslas –  plėtoti pedagogų kompetencijas taikyti formuojamojo vertinimo strategijas, kurios skatina aktyvų ir sąmoningą mokinių dalyvavimą mokymosi procese.</w:t>
      </w:r>
      <w:r w:rsidR="001900CB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</w:t>
      </w:r>
    </w:p>
    <w:p w:rsidR="001900CB" w:rsidRPr="00973241" w:rsidRDefault="005507C7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Kursas susideda iš trijų dalių: </w:t>
      </w:r>
      <w:r w:rsidR="00EB0DFD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į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vadinis seminaras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(8 akad. val.)</w:t>
      </w:r>
      <w:r w:rsidR="00C96950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; 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nuotolinės konsultacijos su lektore</w:t>
      </w:r>
      <w:r w:rsidR="00EB0DFD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naudojant internetinę platformą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(8 akad. val.)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; baigia</w:t>
      </w:r>
      <w:r w:rsidR="00C96950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masis seminaras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(6 akad. val</w:t>
      </w:r>
      <w:r w:rsidR="00EB0DFD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.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).</w:t>
      </w:r>
      <w:r w:rsidR="00EB0DFD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</w:t>
      </w:r>
    </w:p>
    <w:p w:rsidR="005507C7" w:rsidRPr="00973241" w:rsidRDefault="00C96950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Įvadinis seminaras vyks 2018 </w:t>
      </w:r>
      <w:r w:rsidR="001900CB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m.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</w:t>
      </w:r>
      <w:r w:rsidR="005E0C1F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balandžio 27</w:t>
      </w:r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 d.</w:t>
      </w:r>
      <w:r w:rsidR="005E0C1F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Vilniuje</w:t>
      </w:r>
      <w:r w:rsidR="001900CB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,</w:t>
      </w: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Lietuvos edukologijos universitete,</w:t>
      </w:r>
      <w:r w:rsidR="001900CB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Studentų g. 39.</w:t>
      </w:r>
      <w:r w:rsidR="003B2AEF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Baigiamasis seminaras planuojamas </w:t>
      </w:r>
      <w:r w:rsidR="005E0C1F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birželio </w:t>
      </w:r>
      <w:r w:rsidR="003B2AEF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mėn.</w:t>
      </w:r>
      <w:r w:rsidR="005E0C1F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pradžioje.</w:t>
      </w:r>
    </w:p>
    <w:p w:rsidR="0023097A" w:rsidRPr="00973241" w:rsidRDefault="00C96950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Dalyvio mokestis už visą kursą: </w:t>
      </w:r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25 </w:t>
      </w:r>
      <w:proofErr w:type="spellStart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eur</w:t>
      </w:r>
      <w:proofErr w:type="spellEnd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 LAKMA nariams, 50 </w:t>
      </w:r>
      <w:proofErr w:type="spellStart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eur</w:t>
      </w:r>
      <w:proofErr w:type="spellEnd"/>
      <w:r w:rsidRPr="00973241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 xml:space="preserve"> ne nariams.</w:t>
      </w:r>
      <w:r w:rsidR="00973241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 </w:t>
      </w:r>
      <w:r w:rsidR="0023097A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Į mokestį įeina mokymai, medžiaga ir </w:t>
      </w:r>
      <w:r w:rsidR="00B56AF6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pažymėjimas. Kelionės ir maitinimo išlaidos nepadengiamos.</w:t>
      </w:r>
    </w:p>
    <w:p w:rsidR="00C96950" w:rsidRPr="00973241" w:rsidRDefault="00C96950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Registracija ir apmokėjimas iki </w:t>
      </w:r>
      <w:r w:rsidR="001900CB"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2018 m. </w:t>
      </w:r>
      <w:r w:rsidR="005E0C1F">
        <w:rPr>
          <w:rFonts w:eastAsia="Times New Roman" w:cstheme="minorHAnsi"/>
          <w:b/>
          <w:bCs/>
          <w:i/>
          <w:iCs/>
          <w:color w:val="1F497D" w:themeColor="text2"/>
          <w:sz w:val="24"/>
          <w:szCs w:val="24"/>
          <w:lang w:eastAsia="lt-LT"/>
        </w:rPr>
        <w:t>balandžio 23 d.</w:t>
      </w:r>
    </w:p>
    <w:p w:rsidR="00C96950" w:rsidRPr="00973241" w:rsidRDefault="00C96950" w:rsidP="001900CB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1F497D" w:themeColor="text2"/>
          <w:sz w:val="24"/>
          <w:szCs w:val="24"/>
          <w:lang w:val="en-US" w:eastAsia="lt-LT"/>
        </w:rPr>
      </w:pPr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Daugiau informacijos </w:t>
      </w:r>
      <w:hyperlink r:id="rId12" w:history="1">
        <w:r w:rsidRPr="00973241">
          <w:rPr>
            <w:rStyle w:val="Hipersaitas"/>
            <w:rFonts w:eastAsia="Times New Roman" w:cstheme="minorHAnsi"/>
            <w:i/>
            <w:iCs/>
            <w:color w:val="1F497D" w:themeColor="text2"/>
            <w:sz w:val="24"/>
            <w:szCs w:val="24"/>
            <w:lang w:eastAsia="lt-LT"/>
          </w:rPr>
          <w:t>www.lakmaonline.lt</w:t>
        </w:r>
      </w:hyperlink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 xml:space="preserve">; </w:t>
      </w:r>
      <w:proofErr w:type="spellStart"/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eastAsia="lt-LT"/>
        </w:rPr>
        <w:t>admin</w:t>
      </w:r>
      <w:proofErr w:type="spellEnd"/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val="en-US" w:eastAsia="lt-LT"/>
        </w:rPr>
        <w:t>@</w:t>
      </w:r>
      <w:proofErr w:type="spellStart"/>
      <w:r w:rsidRPr="00973241">
        <w:rPr>
          <w:rFonts w:eastAsia="Times New Roman" w:cstheme="minorHAnsi"/>
          <w:i/>
          <w:iCs/>
          <w:color w:val="1F497D" w:themeColor="text2"/>
          <w:sz w:val="24"/>
          <w:szCs w:val="24"/>
          <w:lang w:val="en-US" w:eastAsia="lt-LT"/>
        </w:rPr>
        <w:t>lakmaonline.lt</w:t>
      </w:r>
      <w:proofErr w:type="spellEnd"/>
    </w:p>
    <w:sectPr w:rsidR="00C96950" w:rsidRPr="00973241" w:rsidSect="00B56AF6">
      <w:pgSz w:w="11906" w:h="16838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2C7"/>
    <w:multiLevelType w:val="hybridMultilevel"/>
    <w:tmpl w:val="89863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6F56"/>
    <w:multiLevelType w:val="hybridMultilevel"/>
    <w:tmpl w:val="E67E1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2CD"/>
    <w:multiLevelType w:val="hybridMultilevel"/>
    <w:tmpl w:val="44664E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D"/>
    <w:rsid w:val="001900CB"/>
    <w:rsid w:val="001C6A48"/>
    <w:rsid w:val="0023097A"/>
    <w:rsid w:val="003B2AEF"/>
    <w:rsid w:val="005022DD"/>
    <w:rsid w:val="005507C7"/>
    <w:rsid w:val="005E0C1F"/>
    <w:rsid w:val="007D3633"/>
    <w:rsid w:val="00813E5E"/>
    <w:rsid w:val="008804B0"/>
    <w:rsid w:val="00973241"/>
    <w:rsid w:val="009972EB"/>
    <w:rsid w:val="00A57FAB"/>
    <w:rsid w:val="00B56AF6"/>
    <w:rsid w:val="00C51B3E"/>
    <w:rsid w:val="00C71B79"/>
    <w:rsid w:val="00C96950"/>
    <w:rsid w:val="00CC503E"/>
    <w:rsid w:val="00DD7F4D"/>
    <w:rsid w:val="00E322BA"/>
    <w:rsid w:val="00EB0DFD"/>
    <w:rsid w:val="00E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cs="Arial Unicode M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2D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5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022D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D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cs="Arial Unicode M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2D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5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022D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D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akmaonli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admin@lakmaonline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kmaonlin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22</cp:revision>
  <cp:lastPrinted>2018-01-29T16:31:00Z</cp:lastPrinted>
  <dcterms:created xsi:type="dcterms:W3CDTF">2018-01-25T07:27:00Z</dcterms:created>
  <dcterms:modified xsi:type="dcterms:W3CDTF">2018-04-10T06:17:00Z</dcterms:modified>
</cp:coreProperties>
</file>